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rPr>
          <w:rFonts w:hint="eastAsia" w:ascii="宋体" w:hAnsi="宋体"/>
          <w:sz w:val="28"/>
          <w:szCs w:val="28"/>
          <w:shd w:val="clear" w:color="auto" w:fill="FFFFFF"/>
        </w:rPr>
      </w:pPr>
      <w:r>
        <w:rPr>
          <w:rFonts w:hint="eastAsia" w:ascii="宋体" w:hAnsi="宋体"/>
          <w:sz w:val="28"/>
          <w:szCs w:val="28"/>
          <w:shd w:val="clear" w:color="auto" w:fill="FFFFFF"/>
        </w:rPr>
        <w:t>附件2</w:t>
      </w:r>
    </w:p>
    <w:p>
      <w:pPr>
        <w:pStyle w:val="2"/>
        <w:jc w:val="center"/>
        <w:rPr>
          <w:rFonts w:hint="eastAsia" w:ascii="黑体" w:eastAsia="黑体"/>
          <w:sz w:val="40"/>
          <w:szCs w:val="40"/>
          <w:shd w:val="clear" w:color="auto" w:fill="FFFFFF"/>
        </w:rPr>
      </w:pPr>
      <w:r>
        <w:rPr>
          <w:rFonts w:hint="eastAsia" w:ascii="黑体" w:eastAsia="黑体"/>
          <w:sz w:val="40"/>
          <w:szCs w:val="40"/>
          <w:shd w:val="clear" w:color="auto" w:fill="FFFFFF"/>
        </w:rPr>
        <w:t>学位授权点抽评要素</w:t>
      </w:r>
    </w:p>
    <w:p>
      <w:pPr>
        <w:rPr>
          <w:rFonts w:hint="eastAsia"/>
          <w:shd w:val="clear" w:color="auto" w:fill="FFFFFF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480"/>
        <w:gridCol w:w="5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4"/>
                <w:szCs w:val="24"/>
                <w:shd w:val="clear" w:color="auto" w:fill="FFFFFF"/>
              </w:rPr>
              <w:t>一级要素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4"/>
                <w:szCs w:val="24"/>
                <w:shd w:val="clear" w:color="auto" w:fill="FFFFFF"/>
              </w:rPr>
              <w:t>二级要素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黑体" w:hAnsi="黑体" w:eastAsia="黑体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黑体" w:hAnsi="黑体" w:eastAsia="黑体"/>
                <w:sz w:val="24"/>
                <w:szCs w:val="24"/>
                <w:shd w:val="clear" w:color="auto" w:fill="FFFFFF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restart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1目标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与</w:t>
            </w:r>
            <w:r>
              <w:rPr>
                <w:rFonts w:ascii="宋体" w:hAnsi="宋体"/>
                <w:szCs w:val="21"/>
                <w:shd w:val="clear" w:color="auto" w:fill="FFFFFF"/>
              </w:rPr>
              <w:t>标准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1.1培养目标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本学位点培养研究生的目标定位。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1.2学位标准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本学位点授予博士、硕士学位的基本标准。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restart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2基本条件</w:t>
            </w: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2.1培养</w:t>
            </w:r>
            <w:r>
              <w:rPr>
                <w:szCs w:val="21"/>
                <w:shd w:val="clear" w:color="auto" w:fill="FFFFFF"/>
              </w:rPr>
              <w:t>方向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本学位点的主要培养方向简介。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2.2</w:t>
            </w:r>
            <w:r>
              <w:rPr>
                <w:szCs w:val="21"/>
                <w:shd w:val="clear" w:color="auto" w:fill="FFFFFF"/>
              </w:rPr>
              <w:t>师资队伍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各培养方向带头人、主要师资队伍情况。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2.3科学研究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本学位点已完成的主要科研项目以及部分在研项目的情况。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2.4教学科研支撑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本学位点支撑研究生学习、科研的平台情况。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2.</w:t>
            </w: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5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奖助体系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hint="eastAsia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本学位点研究生奖助体系的制度建设、奖助水平、覆盖面等情况。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restart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3人才</w:t>
            </w:r>
            <w:r>
              <w:rPr>
                <w:rFonts w:ascii="宋体" w:hAnsi="宋体"/>
                <w:szCs w:val="21"/>
                <w:shd w:val="clear" w:color="auto" w:fill="FFFFFF"/>
              </w:rPr>
              <w:t>培养</w:t>
            </w:r>
          </w:p>
          <w:p>
            <w:pPr>
              <w:snapToGrid w:val="0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.1招生选拔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学位授权点研究生报考数量、录取比例、录取人数、生源结构</w:t>
            </w: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情况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，以及为保证生源质量采取的措施。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.2课程教学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本学位点开设的核心课程及主讲教师。课程教学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质量和</w:t>
            </w:r>
            <w:r>
              <w:rPr>
                <w:rFonts w:ascii="宋体" w:hAnsi="宋体"/>
                <w:szCs w:val="21"/>
                <w:shd w:val="clear" w:color="auto" w:fill="FFFFFF"/>
              </w:rPr>
              <w:t>持续改进机制。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.3导师指导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导师队伍的选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聘</w:t>
            </w:r>
            <w:r>
              <w:rPr>
                <w:rFonts w:ascii="宋体" w:hAnsi="宋体"/>
                <w:szCs w:val="21"/>
                <w:shd w:val="clear" w:color="auto" w:fill="FFFFFF"/>
              </w:rPr>
              <w:t>、培训、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考</w:t>
            </w:r>
            <w:r>
              <w:rPr>
                <w:rFonts w:ascii="宋体" w:hAnsi="宋体"/>
                <w:szCs w:val="21"/>
                <w:shd w:val="clear" w:color="auto" w:fill="FFFFFF"/>
              </w:rPr>
              <w:t>核情况。导师指导研究生的制度要求和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执行</w:t>
            </w:r>
            <w:r>
              <w:rPr>
                <w:rFonts w:ascii="宋体" w:hAnsi="宋体"/>
                <w:szCs w:val="21"/>
                <w:shd w:val="clear" w:color="auto" w:fill="FFFFFF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.4学术训练</w:t>
            </w:r>
          </w:p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（或实践教学）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研究生参与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学术</w:t>
            </w:r>
            <w:r>
              <w:rPr>
                <w:rFonts w:ascii="宋体" w:hAnsi="宋体"/>
                <w:szCs w:val="21"/>
                <w:shd w:val="clear" w:color="auto" w:fill="FFFFFF"/>
              </w:rPr>
              <w:t>训练的情况，专业学位研究生参与实践教学的情况，包括制度保证、经费支持等。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.5学术交流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研究生参与国际国内学术交流的基本情况。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</w:t>
            </w: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6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分流淘汰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研究生特别是博士生分流情况，提供研究生分流淘汰相关数据。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7</w:t>
            </w:r>
            <w:r>
              <w:rPr>
                <w:rFonts w:ascii="宋体" w:hAnsi="宋体"/>
                <w:szCs w:val="21"/>
                <w:shd w:val="clear" w:color="auto" w:fill="FFFFFF"/>
              </w:rPr>
              <w:t>论文质量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本学位点学位论文在各类论文抽检、评审中的情况和论文质量分析。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  <w:lang w:val="zh-CN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</w:rPr>
              <w:t>.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8</w:t>
            </w:r>
            <w:r>
              <w:rPr>
                <w:rFonts w:ascii="宋体" w:hAnsi="宋体"/>
                <w:szCs w:val="21"/>
                <w:shd w:val="clear" w:color="auto" w:fill="FFFFFF"/>
              </w:rPr>
              <w:t>学风教育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本学位点科学道德和学术规范教育情况，学术不端行为处罚情况。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shd w:val="clear" w:color="auto" w:fill="auto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3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.</w:t>
            </w:r>
            <w:r>
              <w:rPr>
                <w:rFonts w:hint="eastAsia" w:ascii="宋体" w:hAnsi="宋体"/>
                <w:szCs w:val="21"/>
                <w:shd w:val="clear" w:color="auto" w:fill="FFFFFF"/>
                <w:lang w:val="zh-CN"/>
              </w:rPr>
              <w:t>9</w:t>
            </w:r>
            <w:r>
              <w:rPr>
                <w:rFonts w:ascii="宋体" w:hAnsi="宋体"/>
                <w:szCs w:val="21"/>
                <w:shd w:val="clear" w:color="auto" w:fill="FFFFFF"/>
                <w:lang w:val="zh-CN"/>
              </w:rPr>
              <w:t>管理服务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研究生权益保障制度建立情况，在学研究生学习满意度调查情况。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</w:trPr>
        <w:tc>
          <w:tcPr>
            <w:tcW w:w="1370" w:type="dxa"/>
            <w:vMerge w:val="continue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  <w:shd w:val="clear" w:color="auto" w:fill="FFFFFF"/>
              </w:rPr>
              <w:t>3.10</w:t>
            </w:r>
            <w:r>
              <w:rPr>
                <w:rFonts w:ascii="宋体" w:hAnsi="宋体"/>
                <w:szCs w:val="21"/>
                <w:shd w:val="clear" w:color="auto" w:fill="FFFFFF"/>
              </w:rPr>
              <w:t>就业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发展</w:t>
            </w:r>
          </w:p>
        </w:tc>
        <w:tc>
          <w:tcPr>
            <w:tcW w:w="5672" w:type="dxa"/>
            <w:vAlign w:val="center"/>
          </w:tcPr>
          <w:p>
            <w:pPr>
              <w:snapToGrid w:val="0"/>
              <w:rPr>
                <w:rFonts w:ascii="宋体" w:hAnsi="宋体"/>
                <w:szCs w:val="21"/>
                <w:shd w:val="clear" w:color="auto" w:fill="FFFFFF"/>
              </w:rPr>
            </w:pPr>
            <w:r>
              <w:rPr>
                <w:rFonts w:ascii="宋体" w:hAnsi="宋体"/>
                <w:szCs w:val="21"/>
                <w:shd w:val="clear" w:color="auto" w:fill="FFFFFF"/>
              </w:rPr>
              <w:t>本学位点毕业研究生的就业率、就业去向分析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，</w:t>
            </w:r>
            <w:r>
              <w:rPr>
                <w:rFonts w:ascii="宋体" w:hAnsi="宋体"/>
                <w:szCs w:val="21"/>
                <w:shd w:val="clear" w:color="auto" w:fill="FFFFFF"/>
              </w:rPr>
              <w:t>用人单位意见反馈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和</w:t>
            </w:r>
            <w:r>
              <w:rPr>
                <w:rFonts w:ascii="宋体" w:hAnsi="宋体"/>
                <w:szCs w:val="21"/>
                <w:shd w:val="clear" w:color="auto" w:fill="FFFFFF"/>
              </w:rPr>
              <w:t>毕业生发展质量调查情况。</w:t>
            </w:r>
          </w:p>
        </w:tc>
      </w:tr>
    </w:tbl>
    <w:p>
      <w:pPr>
        <w:rPr>
          <w:rFonts w:hint="eastAsia"/>
          <w:shd w:val="clear" w:color="auto" w:fill="FFFFFF"/>
        </w:rPr>
      </w:pPr>
    </w:p>
    <w:p>
      <w:pPr>
        <w:rPr>
          <w:rFonts w:hint="eastAsia" w:ascii="宋体" w:hAnsi="宋体"/>
          <w:shd w:val="clear" w:color="auto" w:fill="FFFFFF"/>
        </w:rPr>
      </w:pPr>
      <w:r>
        <w:rPr>
          <w:rFonts w:hint="eastAsia"/>
          <w:shd w:val="clear" w:color="auto" w:fill="FFFFFF"/>
        </w:rPr>
        <w:t>注：本抽评要素仅供随机抽评使用，是教育行政部门评价学位授权点的主要内容。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55F3D"/>
    <w:rsid w:val="15A55F3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2018-07-14T01:48:00Z</dcterms:created>
  <dc:creator>只想静静的看你学习</dc:creator>
  <cp:lastModifiedBy>只想静静的看你学习</cp:lastModifiedBy>
  <dcterms:modified xsi:type="dcterms:W3CDTF">2018-07-14T01:49:19Z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