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rPr>
      </w:pPr>
      <w:r>
        <w:rPr>
          <w:rFonts w:hint="eastAsia" w:ascii="黑体" w:hAnsi="黑体" w:eastAsia="黑体"/>
          <w:sz w:val="32"/>
          <w:szCs w:val="32"/>
        </w:rPr>
        <w:t>附件2</w:t>
      </w:r>
    </w:p>
    <w:p>
      <w:pPr>
        <w:snapToGrid w:val="0"/>
        <w:rPr>
          <w:rFonts w:hint="eastAsia"/>
          <w:sz w:val="28"/>
        </w:rPr>
      </w:pPr>
    </w:p>
    <w:p>
      <w:pPr>
        <w:snapToGrid w:val="0"/>
        <w:rPr>
          <w:rFonts w:hint="eastAsia"/>
          <w:sz w:val="28"/>
        </w:rPr>
      </w:pPr>
    </w:p>
    <w:p>
      <w:pPr>
        <w:snapToGrid w:val="0"/>
        <w:rPr>
          <w:sz w:val="28"/>
        </w:rPr>
      </w:pPr>
    </w:p>
    <w:p>
      <w:pPr>
        <w:snapToGrid w:val="0"/>
        <w:jc w:val="center"/>
        <w:rPr>
          <w:rFonts w:hint="eastAsia" w:ascii="黑体" w:hAnsi="黑体" w:eastAsia="方正小标宋简体"/>
          <w:b/>
          <w:bCs/>
          <w:sz w:val="44"/>
          <w:szCs w:val="44"/>
        </w:rPr>
      </w:pPr>
      <w:r>
        <w:rPr>
          <w:rFonts w:hint="eastAsia" w:ascii="黑体" w:hAnsi="黑体" w:eastAsia="方正小标宋简体"/>
          <w:b/>
          <w:bCs/>
          <w:sz w:val="44"/>
          <w:szCs w:val="44"/>
        </w:rPr>
        <w:t>吉林省特色高水平学科</w:t>
      </w:r>
    </w:p>
    <w:p>
      <w:pPr>
        <w:snapToGrid w:val="0"/>
        <w:jc w:val="center"/>
        <w:rPr>
          <w:rFonts w:hint="eastAsia" w:ascii="黑体" w:hAnsi="黑体" w:eastAsia="方正小标宋简体"/>
          <w:b/>
          <w:bCs/>
          <w:sz w:val="44"/>
          <w:szCs w:val="44"/>
        </w:rPr>
      </w:pPr>
      <w:r>
        <w:rPr>
          <w:rFonts w:hint="eastAsia" w:ascii="黑体" w:hAnsi="黑体" w:eastAsia="方正小标宋简体"/>
          <w:b/>
          <w:bCs/>
          <w:sz w:val="44"/>
          <w:szCs w:val="44"/>
        </w:rPr>
        <w:t>建设中期检查情况统计表</w:t>
      </w: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spacing w:line="480" w:lineRule="auto"/>
      </w:pPr>
    </w:p>
    <w:p>
      <w:pPr>
        <w:snapToGrid w:val="0"/>
        <w:spacing w:line="480" w:lineRule="auto"/>
      </w:pPr>
    </w:p>
    <w:p>
      <w:pPr>
        <w:snapToGrid w:val="0"/>
        <w:spacing w:line="480" w:lineRule="auto"/>
        <w:rPr>
          <w:rFonts w:hint="eastAsia"/>
        </w:rPr>
      </w:pP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rPr>
        <w:t>单位名称</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rPr>
        <w:t>学科名称</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rPr>
        <w:t>特色学科类别</w:t>
      </w:r>
      <w:r>
        <w:rPr>
          <w:rFonts w:ascii="楷体" w:hAnsi="楷体" w:eastAsia="楷体"/>
          <w:b/>
          <w:sz w:val="32"/>
          <w:szCs w:val="32"/>
        </w:rPr>
        <w:t xml:space="preserve"> </w:t>
      </w:r>
      <w:r>
        <w:rPr>
          <w:rFonts w:ascii="楷体" w:hAnsi="楷体" w:eastAsia="楷体"/>
          <w:b/>
          <w:sz w:val="32"/>
          <w:szCs w:val="32"/>
          <w:u w:val="single"/>
        </w:rPr>
        <w:t xml:space="preserve">                     </w:t>
      </w:r>
      <w:r>
        <w:rPr>
          <w:rFonts w:hint="eastAsia" w:ascii="楷体" w:hAnsi="楷体" w:eastAsia="楷体"/>
          <w:b/>
          <w:sz w:val="32"/>
          <w:szCs w:val="32"/>
        </w:rPr>
        <w:t xml:space="preserve">  </w:t>
      </w:r>
    </w:p>
    <w:p>
      <w:pPr>
        <w:snapToGrid w:val="0"/>
        <w:spacing w:line="480" w:lineRule="auto"/>
        <w:ind w:firstLine="1600" w:firstLineChars="500"/>
        <w:rPr>
          <w:rFonts w:ascii="楷体" w:hAnsi="楷体" w:eastAsia="楷体"/>
          <w:b/>
          <w:sz w:val="32"/>
          <w:szCs w:val="32"/>
          <w:u w:val="single"/>
        </w:rPr>
      </w:pPr>
      <w:r>
        <w:rPr>
          <w:rFonts w:hint="eastAsia" w:ascii="楷体" w:hAnsi="楷体" w:eastAsia="楷体"/>
          <w:b/>
          <w:sz w:val="32"/>
          <w:szCs w:val="32"/>
        </w:rPr>
        <w:t>联</w:t>
      </w:r>
      <w:r>
        <w:rPr>
          <w:rFonts w:ascii="楷体" w:hAnsi="楷体" w:eastAsia="楷体"/>
          <w:b/>
          <w:sz w:val="32"/>
          <w:szCs w:val="32"/>
        </w:rPr>
        <w:t xml:space="preserve"> 系 </w:t>
      </w:r>
      <w:r>
        <w:rPr>
          <w:rFonts w:hint="eastAsia" w:ascii="楷体" w:hAnsi="楷体" w:eastAsia="楷体"/>
          <w:b/>
          <w:sz w:val="32"/>
          <w:szCs w:val="32"/>
        </w:rPr>
        <w:t>人</w:t>
      </w:r>
      <w:r>
        <w:rPr>
          <w:rFonts w:ascii="楷体" w:hAnsi="楷体" w:eastAsia="楷体"/>
          <w:b/>
          <w:sz w:val="32"/>
          <w:szCs w:val="32"/>
        </w:rPr>
        <w:t xml:space="preserve"> </w:t>
      </w:r>
      <w:r>
        <w:rPr>
          <w:rFonts w:ascii="楷体" w:hAnsi="楷体" w:eastAsia="楷体"/>
          <w:b/>
          <w:sz w:val="32"/>
          <w:szCs w:val="32"/>
          <w:u w:val="single"/>
        </w:rPr>
        <w:t xml:space="preserve">                         </w:t>
      </w:r>
    </w:p>
    <w:p>
      <w:pPr>
        <w:snapToGrid w:val="0"/>
        <w:spacing w:line="480" w:lineRule="auto"/>
        <w:ind w:firstLine="1600" w:firstLineChars="500"/>
        <w:rPr>
          <w:rFonts w:hint="eastAsia" w:ascii="楷体" w:hAnsi="楷体" w:eastAsia="楷体"/>
          <w:b/>
          <w:sz w:val="32"/>
          <w:szCs w:val="32"/>
          <w:u w:val="single"/>
        </w:rPr>
      </w:pPr>
      <w:r>
        <w:rPr>
          <w:rFonts w:hint="eastAsia" w:ascii="楷体" w:hAnsi="楷体" w:eastAsia="楷体"/>
          <w:b/>
          <w:sz w:val="32"/>
          <w:szCs w:val="32"/>
        </w:rPr>
        <w:t xml:space="preserve">联系电话 </w:t>
      </w:r>
      <w:r>
        <w:rPr>
          <w:rFonts w:hint="eastAsia" w:ascii="楷体" w:hAnsi="楷体" w:eastAsia="楷体"/>
          <w:b/>
          <w:sz w:val="32"/>
          <w:szCs w:val="32"/>
          <w:u w:val="single"/>
        </w:rPr>
        <w:t xml:space="preserve">                         </w:t>
      </w:r>
    </w:p>
    <w:p>
      <w:pPr>
        <w:snapToGrid w:val="0"/>
        <w:jc w:val="center"/>
        <w:rPr>
          <w:rFonts w:hint="eastAsia"/>
          <w:sz w:val="32"/>
        </w:rPr>
      </w:pPr>
    </w:p>
    <w:p>
      <w:pPr>
        <w:snapToGrid w:val="0"/>
        <w:jc w:val="center"/>
        <w:rPr>
          <w:rFonts w:hint="eastAsia"/>
          <w:sz w:val="32"/>
        </w:rPr>
      </w:pPr>
    </w:p>
    <w:p>
      <w:pPr>
        <w:snapToGrid w:val="0"/>
        <w:jc w:val="center"/>
        <w:rPr>
          <w:rFonts w:hint="eastAsia"/>
          <w:sz w:val="32"/>
        </w:rPr>
      </w:pPr>
    </w:p>
    <w:p>
      <w:pPr>
        <w:snapToGrid w:val="0"/>
        <w:jc w:val="center"/>
        <w:rPr>
          <w:rFonts w:hint="eastAsia"/>
          <w:sz w:val="32"/>
        </w:rPr>
      </w:pPr>
    </w:p>
    <w:p>
      <w:pPr>
        <w:snapToGrid w:val="0"/>
        <w:jc w:val="center"/>
        <w:rPr>
          <w:rFonts w:hint="eastAsia" w:ascii="楷体" w:hAnsi="楷体" w:eastAsia="楷体"/>
          <w:sz w:val="32"/>
        </w:rPr>
      </w:pPr>
      <w:r>
        <w:rPr>
          <w:rFonts w:hint="eastAsia" w:ascii="楷体" w:hAnsi="楷体" w:eastAsia="楷体"/>
          <w:sz w:val="32"/>
        </w:rPr>
        <w:t>吉林省教育厅制表</w:t>
      </w:r>
    </w:p>
    <w:p>
      <w:pPr>
        <w:snapToGrid w:val="0"/>
        <w:jc w:val="center"/>
        <w:rPr>
          <w:rFonts w:ascii="楷体" w:hAnsi="楷体" w:eastAsia="楷体"/>
          <w:sz w:val="32"/>
        </w:rPr>
      </w:pPr>
      <w:r>
        <w:rPr>
          <w:rFonts w:hint="eastAsia" w:ascii="楷体" w:hAnsi="楷体" w:eastAsia="楷体"/>
          <w:sz w:val="32"/>
        </w:rPr>
        <w:t>20</w:t>
      </w:r>
      <w:r>
        <w:rPr>
          <w:rFonts w:ascii="楷体" w:hAnsi="楷体" w:eastAsia="楷体"/>
          <w:sz w:val="32"/>
        </w:rPr>
        <w:t>21</w:t>
      </w:r>
      <w:r>
        <w:rPr>
          <w:rFonts w:hint="eastAsia" w:ascii="楷体" w:hAnsi="楷体" w:eastAsia="楷体"/>
          <w:sz w:val="32"/>
        </w:rPr>
        <w:t>年</w:t>
      </w:r>
      <w:r>
        <w:rPr>
          <w:rFonts w:ascii="楷体" w:hAnsi="楷体" w:eastAsia="楷体"/>
          <w:sz w:val="32"/>
        </w:rPr>
        <w:t>4</w:t>
      </w:r>
      <w:r>
        <w:rPr>
          <w:rFonts w:hint="eastAsia" w:ascii="楷体" w:hAnsi="楷体" w:eastAsia="楷体"/>
          <w:sz w:val="32"/>
        </w:rPr>
        <w:t>月</w:t>
      </w: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hint="eastAsia" w:ascii="黑体" w:eastAsia="黑体"/>
          <w:sz w:val="24"/>
          <w:szCs w:val="24"/>
        </w:rPr>
      </w:pPr>
    </w:p>
    <w:p>
      <w:pPr>
        <w:spacing w:after="156" w:afterLines="50" w:line="360" w:lineRule="exact"/>
        <w:jc w:val="center"/>
        <w:rPr>
          <w:rFonts w:hint="eastAsia" w:eastAsia="黑体"/>
          <w:bCs/>
          <w:sz w:val="36"/>
          <w:szCs w:val="44"/>
        </w:rPr>
        <w:sectPr>
          <w:headerReference r:id="rId3" w:type="default"/>
          <w:footerReference r:id="rId4" w:type="default"/>
          <w:footerReference r:id="rId5" w:type="even"/>
          <w:pgSz w:w="11906" w:h="16838"/>
          <w:pgMar w:top="1418" w:right="1418" w:bottom="1418" w:left="1418" w:header="851" w:footer="737" w:gutter="57"/>
          <w:pgNumType w:fmt="numberInDash" w:start="1"/>
          <w:cols w:space="720" w:num="1"/>
          <w:docGrid w:type="linesAndChars" w:linePitch="312" w:charSpace="0"/>
        </w:sectPr>
      </w:pPr>
    </w:p>
    <w:p>
      <w:pPr>
        <w:spacing w:after="156" w:afterLines="50" w:line="360" w:lineRule="exact"/>
        <w:jc w:val="center"/>
        <w:rPr>
          <w:rFonts w:hint="eastAsia" w:eastAsia="黑体"/>
          <w:bCs/>
          <w:sz w:val="36"/>
          <w:szCs w:val="44"/>
        </w:rPr>
      </w:pPr>
      <w:r>
        <w:rPr>
          <w:rFonts w:hint="eastAsia" w:eastAsia="黑体"/>
          <w:bCs/>
          <w:sz w:val="36"/>
          <w:szCs w:val="44"/>
        </w:rPr>
        <w:t>填表说明</w:t>
      </w:r>
    </w:p>
    <w:p>
      <w:pPr>
        <w:adjustRightInd w:val="0"/>
        <w:snapToGrid w:val="0"/>
        <w:spacing w:line="400" w:lineRule="exact"/>
        <w:ind w:firstLine="560" w:firstLineChars="200"/>
        <w:rPr>
          <w:rFonts w:eastAsia="仿宋_GB2312"/>
        </w:rPr>
      </w:pPr>
      <w:r>
        <w:rPr>
          <w:rFonts w:hint="eastAsia" w:eastAsia="仿宋_GB2312"/>
          <w:sz w:val="28"/>
          <w:szCs w:val="28"/>
        </w:rPr>
        <w:t>本表以《吉林省高等学校“十三五”高水平学科立项建设申报书》为依据，统计建设任务完成情况以及建设目标达成度。</w:t>
      </w:r>
      <w:r>
        <w:rPr>
          <w:rFonts w:hint="eastAsia" w:eastAsia="仿宋_GB2312"/>
          <w:b/>
          <w:sz w:val="28"/>
          <w:szCs w:val="28"/>
        </w:rPr>
        <w:t>填表前请认真阅读本说明</w:t>
      </w:r>
      <w:r>
        <w:rPr>
          <w:rFonts w:eastAsia="仿宋_GB2312"/>
          <w:sz w:val="28"/>
          <w:szCs w:val="28"/>
        </w:rPr>
        <w:t>。</w:t>
      </w:r>
    </w:p>
    <w:p>
      <w:pPr>
        <w:adjustRightInd w:val="0"/>
        <w:snapToGrid w:val="0"/>
        <w:spacing w:before="156" w:beforeLines="50" w:after="156" w:afterLines="50" w:line="400" w:lineRule="exact"/>
        <w:ind w:firstLine="560" w:firstLineChars="200"/>
        <w:rPr>
          <w:rFonts w:eastAsia="黑体"/>
          <w:sz w:val="28"/>
          <w:szCs w:val="28"/>
        </w:rPr>
      </w:pPr>
      <w:r>
        <w:rPr>
          <w:rFonts w:hint="eastAsia" w:eastAsia="黑体"/>
          <w:sz w:val="28"/>
          <w:szCs w:val="28"/>
        </w:rPr>
        <w:t>一、表一“学科概况”填报要求</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1.本表填写20</w:t>
      </w:r>
      <w:r>
        <w:rPr>
          <w:rFonts w:eastAsia="仿宋_GB2312"/>
          <w:sz w:val="28"/>
          <w:szCs w:val="28"/>
        </w:rPr>
        <w:t>20</w:t>
      </w:r>
      <w:r>
        <w:rPr>
          <w:rFonts w:hint="eastAsia" w:eastAsia="仿宋_GB2312"/>
          <w:sz w:val="28"/>
          <w:szCs w:val="28"/>
        </w:rPr>
        <w:t>年</w:t>
      </w:r>
      <w:r>
        <w:rPr>
          <w:rFonts w:eastAsia="仿宋_GB2312"/>
          <w:sz w:val="28"/>
          <w:szCs w:val="28"/>
        </w:rPr>
        <w:t>12</w:t>
      </w:r>
      <w:r>
        <w:rPr>
          <w:rFonts w:hint="eastAsia" w:eastAsia="仿宋_GB2312"/>
          <w:sz w:val="28"/>
          <w:szCs w:val="28"/>
        </w:rPr>
        <w:t>月</w:t>
      </w:r>
      <w:r>
        <w:rPr>
          <w:rFonts w:eastAsia="仿宋_GB2312"/>
          <w:sz w:val="28"/>
          <w:szCs w:val="28"/>
        </w:rPr>
        <w:t>31</w:t>
      </w:r>
      <w:r>
        <w:rPr>
          <w:rFonts w:hint="eastAsia" w:eastAsia="仿宋_GB2312"/>
          <w:sz w:val="28"/>
          <w:szCs w:val="28"/>
        </w:rPr>
        <w:t>日人事关系在本单位本学科的专任教师，以及签署全职工作合同的聘用制人员。不含教学科研辅助人员、管理人员、退休教师、博士后。</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2.“海外经历”是指在境外高校</w:t>
      </w:r>
      <w:r>
        <w:rPr>
          <w:rFonts w:eastAsia="仿宋_GB2312"/>
          <w:sz w:val="28"/>
          <w:szCs w:val="28"/>
        </w:rPr>
        <w:t>/</w:t>
      </w:r>
      <w:r>
        <w:rPr>
          <w:rFonts w:hint="eastAsia" w:eastAsia="仿宋_GB2312"/>
          <w:sz w:val="28"/>
          <w:szCs w:val="28"/>
        </w:rPr>
        <w:t>研究机构获得学位，或从事教学、科研工作时间</w:t>
      </w:r>
      <w:r>
        <w:rPr>
          <w:rFonts w:eastAsia="仿宋_GB2312"/>
          <w:sz w:val="28"/>
          <w:szCs w:val="28"/>
        </w:rPr>
        <w:t xml:space="preserve"> 3 </w:t>
      </w:r>
      <w:r>
        <w:rPr>
          <w:rFonts w:hint="eastAsia" w:eastAsia="仿宋_GB2312"/>
          <w:sz w:val="28"/>
          <w:szCs w:val="28"/>
        </w:rPr>
        <w:t>个月以上。</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3</w:t>
      </w:r>
      <w:r>
        <w:rPr>
          <w:rFonts w:eastAsia="仿宋_GB2312"/>
          <w:sz w:val="28"/>
          <w:szCs w:val="28"/>
        </w:rPr>
        <w:t>.</w:t>
      </w:r>
      <w:r>
        <w:rPr>
          <w:rFonts w:hint="eastAsia" w:eastAsia="仿宋_GB2312"/>
          <w:sz w:val="28"/>
          <w:szCs w:val="28"/>
        </w:rPr>
        <w:t>“导师</w:t>
      </w:r>
      <w:r>
        <w:rPr>
          <w:rFonts w:eastAsia="仿宋_GB2312"/>
          <w:sz w:val="28"/>
          <w:szCs w:val="28"/>
        </w:rPr>
        <w:t>/</w:t>
      </w:r>
      <w:r>
        <w:rPr>
          <w:rFonts w:hint="eastAsia" w:eastAsia="仿宋_GB2312"/>
          <w:sz w:val="28"/>
          <w:szCs w:val="28"/>
        </w:rPr>
        <w:t>博导人数”仅统计具有导师</w:t>
      </w:r>
      <w:r>
        <w:rPr>
          <w:rFonts w:eastAsia="仿宋_GB2312"/>
          <w:sz w:val="28"/>
          <w:szCs w:val="28"/>
        </w:rPr>
        <w:t>/</w:t>
      </w:r>
      <w:r>
        <w:rPr>
          <w:rFonts w:hint="eastAsia" w:eastAsia="仿宋_GB2312"/>
          <w:sz w:val="28"/>
          <w:szCs w:val="28"/>
        </w:rPr>
        <w:t>博导资格且</w:t>
      </w:r>
      <w:r>
        <w:rPr>
          <w:rFonts w:eastAsia="仿宋_GB2312"/>
          <w:sz w:val="28"/>
          <w:szCs w:val="28"/>
        </w:rPr>
        <w:t xml:space="preserve"> 2020 </w:t>
      </w:r>
      <w:r>
        <w:rPr>
          <w:rFonts w:hint="eastAsia" w:eastAsia="仿宋_GB2312"/>
          <w:sz w:val="28"/>
          <w:szCs w:val="28"/>
        </w:rPr>
        <w:t>年</w:t>
      </w:r>
      <w:r>
        <w:rPr>
          <w:rFonts w:eastAsia="仿宋_GB2312"/>
          <w:sz w:val="28"/>
          <w:szCs w:val="28"/>
        </w:rPr>
        <w:t>12</w:t>
      </w:r>
      <w:r>
        <w:rPr>
          <w:rFonts w:hint="eastAsia" w:eastAsia="仿宋_GB2312"/>
          <w:sz w:val="28"/>
          <w:szCs w:val="28"/>
        </w:rPr>
        <w:t>月</w:t>
      </w:r>
      <w:r>
        <w:rPr>
          <w:rFonts w:eastAsia="仿宋_GB2312"/>
          <w:sz w:val="28"/>
          <w:szCs w:val="28"/>
        </w:rPr>
        <w:t>31</w:t>
      </w:r>
      <w:r>
        <w:rPr>
          <w:rFonts w:hint="eastAsia" w:eastAsia="仿宋_GB2312"/>
          <w:sz w:val="28"/>
          <w:szCs w:val="28"/>
        </w:rPr>
        <w:t>日仍在指导研究生的导师，含在外单位兼职担任导师</w:t>
      </w:r>
      <w:r>
        <w:rPr>
          <w:rFonts w:eastAsia="仿宋_GB2312"/>
          <w:sz w:val="28"/>
          <w:szCs w:val="28"/>
        </w:rPr>
        <w:t>/</w:t>
      </w:r>
      <w:r>
        <w:rPr>
          <w:rFonts w:hint="eastAsia" w:eastAsia="仿宋_GB2312"/>
          <w:sz w:val="28"/>
          <w:szCs w:val="28"/>
        </w:rPr>
        <w:t>博导人员。</w:t>
      </w:r>
    </w:p>
    <w:p>
      <w:pPr>
        <w:adjustRightInd w:val="0"/>
        <w:snapToGrid w:val="0"/>
        <w:spacing w:before="156" w:beforeLines="50" w:after="156" w:afterLines="50" w:line="400" w:lineRule="exact"/>
        <w:ind w:firstLine="560" w:firstLineChars="200"/>
        <w:rPr>
          <w:rFonts w:eastAsia="黑体"/>
        </w:rPr>
      </w:pPr>
      <w:r>
        <w:rPr>
          <w:rFonts w:hint="eastAsia" w:eastAsia="黑体"/>
          <w:sz w:val="28"/>
          <w:szCs w:val="28"/>
        </w:rPr>
        <w:t>二、表二“建设任务完成情况”填报要求</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1.</w:t>
      </w:r>
      <w:r>
        <w:rPr>
          <w:rFonts w:hint="eastAsia" w:eastAsia="仿宋_GB2312"/>
          <w:sz w:val="28"/>
          <w:szCs w:val="28"/>
        </w:rPr>
        <w:t>“</w:t>
      </w:r>
      <w:r>
        <w:rPr>
          <w:rFonts w:eastAsia="仿宋_GB2312"/>
          <w:sz w:val="28"/>
          <w:szCs w:val="28"/>
        </w:rPr>
        <w:t>年度量化指标</w:t>
      </w:r>
      <w:r>
        <w:rPr>
          <w:rFonts w:hint="eastAsia" w:eastAsia="仿宋_GB2312"/>
          <w:sz w:val="28"/>
          <w:szCs w:val="28"/>
        </w:rPr>
        <w:t>”栏填写立项时填报的《吉林省高等学校“十三五”高水平学科立项建设申报书》中“具体建设任务栏、措施及量化指标”部分“年度量化指标”相对应的“2018、2019、2020”栏中内容。</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2.</w:t>
      </w:r>
      <w:r>
        <w:rPr>
          <w:rFonts w:hint="eastAsia" w:eastAsia="仿宋_GB2312"/>
          <w:sz w:val="28"/>
          <w:szCs w:val="28"/>
        </w:rPr>
        <w:t>“</w:t>
      </w:r>
      <w:r>
        <w:rPr>
          <w:rFonts w:eastAsia="仿宋_GB2312"/>
          <w:sz w:val="28"/>
          <w:szCs w:val="28"/>
        </w:rPr>
        <w:t>完成情况</w:t>
      </w:r>
      <w:r>
        <w:rPr>
          <w:rFonts w:hint="eastAsia" w:eastAsia="仿宋_GB2312"/>
          <w:sz w:val="28"/>
          <w:szCs w:val="28"/>
        </w:rPr>
        <w:t>”数据统计分自然年和时点两个方式。自然年：指自然年度，即项目建设期</w:t>
      </w:r>
      <w:r>
        <w:rPr>
          <w:rFonts w:eastAsia="仿宋_GB2312"/>
          <w:sz w:val="28"/>
          <w:szCs w:val="28"/>
        </w:rPr>
        <w:t>2018年</w:t>
      </w:r>
      <w:r>
        <w:rPr>
          <w:rFonts w:hint="eastAsia" w:eastAsia="仿宋_GB2312"/>
          <w:sz w:val="28"/>
          <w:szCs w:val="28"/>
        </w:rPr>
        <w:t>、2</w:t>
      </w:r>
      <w:r>
        <w:rPr>
          <w:rFonts w:eastAsia="仿宋_GB2312"/>
          <w:sz w:val="28"/>
          <w:szCs w:val="28"/>
        </w:rPr>
        <w:t>019年</w:t>
      </w:r>
      <w:r>
        <w:rPr>
          <w:rFonts w:hint="eastAsia" w:eastAsia="仿宋_GB2312"/>
          <w:sz w:val="28"/>
          <w:szCs w:val="28"/>
        </w:rPr>
        <w:t>、2</w:t>
      </w:r>
      <w:r>
        <w:rPr>
          <w:rFonts w:eastAsia="仿宋_GB2312"/>
          <w:sz w:val="28"/>
          <w:szCs w:val="28"/>
        </w:rPr>
        <w:t>020年三个年度实际完成</w:t>
      </w:r>
      <w:r>
        <w:rPr>
          <w:rFonts w:hint="eastAsia" w:eastAsia="仿宋_GB2312"/>
          <w:sz w:val="28"/>
          <w:szCs w:val="28"/>
        </w:rPr>
        <w:t>情况</w:t>
      </w:r>
      <w:r>
        <w:rPr>
          <w:rFonts w:eastAsia="仿宋_GB2312"/>
          <w:sz w:val="28"/>
          <w:szCs w:val="28"/>
        </w:rPr>
        <w:t>合计</w:t>
      </w:r>
      <w:r>
        <w:rPr>
          <w:rFonts w:hint="eastAsia" w:eastAsia="仿宋_GB2312"/>
          <w:sz w:val="28"/>
          <w:szCs w:val="28"/>
        </w:rPr>
        <w:t>，如成果奖、优秀论文等指标；时点：指特定时刻产生的指标数据的统计截止时间，即2</w:t>
      </w:r>
      <w:r>
        <w:rPr>
          <w:rFonts w:eastAsia="仿宋_GB2312"/>
          <w:sz w:val="28"/>
          <w:szCs w:val="28"/>
        </w:rPr>
        <w:t>02</w:t>
      </w:r>
      <w:r>
        <w:rPr>
          <w:rFonts w:hint="eastAsia" w:eastAsia="仿宋_GB2312"/>
          <w:sz w:val="28"/>
          <w:szCs w:val="28"/>
          <w:lang w:val="en-US" w:eastAsia="zh-CN"/>
        </w:rPr>
        <w:t>0</w:t>
      </w:r>
      <w:bookmarkStart w:id="0" w:name="_GoBack"/>
      <w:bookmarkEnd w:id="0"/>
      <w:r>
        <w:rPr>
          <w:rFonts w:eastAsia="仿宋_GB2312"/>
          <w:sz w:val="28"/>
          <w:szCs w:val="28"/>
        </w:rPr>
        <w:t>年</w:t>
      </w:r>
      <w:r>
        <w:rPr>
          <w:rFonts w:hint="eastAsia" w:eastAsia="仿宋_GB2312"/>
          <w:sz w:val="28"/>
          <w:szCs w:val="28"/>
        </w:rPr>
        <w:t>12月31日，如专任教师数等指标。</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3.</w:t>
      </w:r>
      <w:r>
        <w:rPr>
          <w:rFonts w:hint="eastAsia" w:eastAsia="仿宋_GB2312"/>
          <w:sz w:val="28"/>
          <w:szCs w:val="28"/>
        </w:rPr>
        <w:t>“目标达成度”=“</w:t>
      </w:r>
      <w:r>
        <w:rPr>
          <w:rFonts w:eastAsia="仿宋_GB2312"/>
          <w:sz w:val="28"/>
          <w:szCs w:val="28"/>
        </w:rPr>
        <w:t>完成情况</w:t>
      </w:r>
      <w:r>
        <w:rPr>
          <w:rFonts w:hint="eastAsia" w:eastAsia="仿宋_GB2312"/>
          <w:sz w:val="28"/>
          <w:szCs w:val="28"/>
        </w:rPr>
        <w:t>”/“</w:t>
      </w:r>
      <w:r>
        <w:rPr>
          <w:rFonts w:eastAsia="仿宋_GB2312"/>
          <w:sz w:val="28"/>
          <w:szCs w:val="28"/>
        </w:rPr>
        <w:t>年度量化指标</w:t>
      </w:r>
      <w:r>
        <w:rPr>
          <w:rFonts w:hint="eastAsia" w:eastAsia="仿宋_GB2312"/>
          <w:sz w:val="28"/>
          <w:szCs w:val="28"/>
        </w:rPr>
        <w:t>”*100%。（因数据填写方式不同，分母“年度量化指标”使用2020年数据进行核算或使用2018、2019、2020合计数据进行核算，具体核算方式由各学科立项时填报方式决定。）</w:t>
      </w:r>
    </w:p>
    <w:p>
      <w:pPr>
        <w:adjustRightInd w:val="0"/>
        <w:snapToGrid w:val="0"/>
        <w:spacing w:line="400" w:lineRule="exact"/>
        <w:ind w:firstLine="560" w:firstLineChars="200"/>
        <w:rPr>
          <w:rFonts w:hint="eastAsia" w:eastAsia="仿宋_GB2312"/>
          <w:sz w:val="28"/>
          <w:szCs w:val="28"/>
        </w:rPr>
      </w:pPr>
      <w:r>
        <w:rPr>
          <w:rFonts w:hint="eastAsia" w:eastAsia="仿宋_GB2312"/>
          <w:sz w:val="28"/>
          <w:szCs w:val="28"/>
        </w:rPr>
        <w:t xml:space="preserve">4. </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-1</w:t>
      </w:r>
      <w:r>
        <w:rPr>
          <w:rFonts w:hint="eastAsia" w:eastAsia="仿宋_GB2312"/>
          <w:sz w:val="28"/>
          <w:szCs w:val="28"/>
        </w:rPr>
        <w:t>至</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-4部分中</w:t>
      </w:r>
      <w:r>
        <w:rPr>
          <w:rFonts w:hint="eastAsia" w:eastAsia="仿宋_GB2312"/>
          <w:sz w:val="28"/>
          <w:szCs w:val="28"/>
        </w:rPr>
        <w:t>“其他重要标志性成果指标完成情况”指立项时规划的指标，若立项时无规划则不填。</w:t>
      </w:r>
    </w:p>
    <w:p>
      <w:pPr>
        <w:adjustRightInd w:val="0"/>
        <w:snapToGrid w:val="0"/>
        <w:spacing w:line="400" w:lineRule="exact"/>
        <w:ind w:firstLine="560" w:firstLineChars="200"/>
        <w:rPr>
          <w:rFonts w:hint="eastAsia" w:eastAsia="仿宋_GB2312"/>
          <w:sz w:val="28"/>
          <w:szCs w:val="28"/>
        </w:rPr>
      </w:pPr>
      <w:r>
        <w:rPr>
          <w:rFonts w:eastAsia="仿宋_GB2312"/>
          <w:sz w:val="28"/>
          <w:szCs w:val="28"/>
        </w:rPr>
        <w:t>5</w:t>
      </w:r>
      <w:r>
        <w:rPr>
          <w:rFonts w:hint="eastAsia" w:eastAsia="仿宋_GB2312"/>
          <w:sz w:val="28"/>
          <w:szCs w:val="28"/>
        </w:rPr>
        <w:t>.“</w:t>
      </w:r>
      <w:r>
        <w:rPr>
          <w:rFonts w:hint="eastAsia" w:eastAsia="仿宋_GB2312"/>
          <w:sz w:val="28"/>
          <w:szCs w:val="28"/>
        </w:rPr>
        <w:fldChar w:fldCharType="begin"/>
      </w:r>
      <w:r>
        <w:rPr>
          <w:rFonts w:hint="eastAsia" w:eastAsia="仿宋_GB2312"/>
          <w:sz w:val="28"/>
          <w:szCs w:val="28"/>
        </w:rPr>
        <w:instrText xml:space="preserve"> = 2 \* ROMAN \* MERGEFORMAT </w:instrText>
      </w:r>
      <w:r>
        <w:rPr>
          <w:rFonts w:hint="eastAsia" w:eastAsia="仿宋_GB2312"/>
          <w:sz w:val="28"/>
          <w:szCs w:val="28"/>
        </w:rPr>
        <w:fldChar w:fldCharType="separate"/>
      </w:r>
      <w:r>
        <w:rPr>
          <w:rFonts w:eastAsia="仿宋_GB2312"/>
          <w:sz w:val="28"/>
          <w:szCs w:val="28"/>
        </w:rPr>
        <w:t>II</w:t>
      </w:r>
      <w:r>
        <w:rPr>
          <w:rFonts w:hint="eastAsia" w:eastAsia="仿宋_GB2312"/>
          <w:sz w:val="28"/>
          <w:szCs w:val="28"/>
        </w:rPr>
        <w:fldChar w:fldCharType="end"/>
      </w:r>
      <w:r>
        <w:rPr>
          <w:rFonts w:eastAsia="仿宋_GB2312"/>
          <w:sz w:val="28"/>
          <w:szCs w:val="28"/>
        </w:rPr>
        <w:t>-</w:t>
      </w:r>
      <w:r>
        <w:rPr>
          <w:rFonts w:hint="eastAsia" w:eastAsia="仿宋_GB2312"/>
          <w:sz w:val="28"/>
          <w:szCs w:val="28"/>
        </w:rPr>
        <w:t>5其他标志性成果”中如需填写列表外其他成果可自行增加填写。</w:t>
      </w:r>
    </w:p>
    <w:p>
      <w:pPr>
        <w:adjustRightInd w:val="0"/>
        <w:snapToGrid w:val="0"/>
        <w:spacing w:before="156" w:beforeLines="50" w:after="156" w:afterLines="50" w:line="400" w:lineRule="exact"/>
        <w:ind w:firstLine="560" w:firstLineChars="200"/>
        <w:rPr>
          <w:rFonts w:eastAsia="黑体"/>
          <w:sz w:val="28"/>
          <w:szCs w:val="28"/>
        </w:rPr>
      </w:pPr>
      <w:r>
        <w:rPr>
          <w:rFonts w:hint="eastAsia" w:eastAsia="黑体"/>
          <w:sz w:val="28"/>
          <w:szCs w:val="28"/>
        </w:rPr>
        <w:t>三、其他事项</w:t>
      </w:r>
    </w:p>
    <w:p>
      <w:pPr>
        <w:adjustRightInd w:val="0"/>
        <w:snapToGrid w:val="0"/>
        <w:spacing w:line="40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本表不得填写任何涉密内容。</w:t>
      </w:r>
    </w:p>
    <w:p>
      <w:pPr>
        <w:adjustRightInd w:val="0"/>
        <w:snapToGrid w:val="0"/>
        <w:spacing w:line="40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本次中期检查工作将加大材料核查和信息公示力度，建立违规惩戒机制，请各单位如实填报材料。</w:t>
      </w:r>
    </w:p>
    <w:p>
      <w:pPr>
        <w:rPr>
          <w:rFonts w:ascii="黑体" w:eastAsia="黑体"/>
          <w:sz w:val="24"/>
          <w:szCs w:val="24"/>
        </w:rPr>
      </w:pPr>
    </w:p>
    <w:p>
      <w:pPr>
        <w:rPr>
          <w:rFonts w:hint="eastAsia" w:ascii="黑体" w:eastAsia="黑体"/>
          <w:sz w:val="24"/>
          <w:szCs w:val="24"/>
        </w:rPr>
        <w:sectPr>
          <w:footerReference r:id="rId6" w:type="default"/>
          <w:pgSz w:w="11906" w:h="16838"/>
          <w:pgMar w:top="1418" w:right="1418" w:bottom="1418" w:left="1418" w:header="851" w:footer="737" w:gutter="57"/>
          <w:pgNumType w:fmt="numberInDash" w:start="1"/>
          <w:cols w:space="720" w:num="1"/>
          <w:docGrid w:type="linesAndChars" w:linePitch="312" w:charSpace="0"/>
        </w:sectPr>
      </w:pPr>
    </w:p>
    <w:p>
      <w:pPr>
        <w:rPr>
          <w:rFonts w:ascii="黑体" w:eastAsia="黑体"/>
          <w:sz w:val="24"/>
          <w:szCs w:val="24"/>
        </w:rPr>
      </w:pPr>
      <w:r>
        <w:rPr>
          <w:rFonts w:hint="eastAsia" w:ascii="黑体" w:eastAsia="黑体"/>
          <w:sz w:val="24"/>
          <w:szCs w:val="24"/>
        </w:rPr>
        <w:t>I学科概况</w:t>
      </w:r>
    </w:p>
    <w:p>
      <w:pPr>
        <w:rPr>
          <w:rFonts w:hint="eastAsia" w:ascii="黑体" w:eastAsia="黑体"/>
          <w:sz w:val="24"/>
          <w:szCs w:val="24"/>
        </w:rPr>
      </w:pPr>
    </w:p>
    <w:tbl>
      <w:tblPr>
        <w:tblStyle w:val="5"/>
        <w:tblW w:w="9859" w:type="dxa"/>
        <w:jc w:val="center"/>
        <w:tblLayout w:type="fixed"/>
        <w:tblCellMar>
          <w:top w:w="0" w:type="dxa"/>
          <w:left w:w="0" w:type="dxa"/>
          <w:bottom w:w="0" w:type="dxa"/>
          <w:right w:w="0" w:type="dxa"/>
        </w:tblCellMar>
      </w:tblPr>
      <w:tblGrid>
        <w:gridCol w:w="1155"/>
        <w:gridCol w:w="1199"/>
        <w:gridCol w:w="114"/>
        <w:gridCol w:w="861"/>
        <w:gridCol w:w="248"/>
        <w:gridCol w:w="473"/>
        <w:gridCol w:w="780"/>
        <w:gridCol w:w="57"/>
        <w:gridCol w:w="753"/>
        <w:gridCol w:w="1011"/>
        <w:gridCol w:w="636"/>
        <w:gridCol w:w="408"/>
        <w:gridCol w:w="1140"/>
        <w:gridCol w:w="1024"/>
      </w:tblGrid>
      <w:tr>
        <w:tblPrEx>
          <w:tblCellMar>
            <w:top w:w="0" w:type="dxa"/>
            <w:left w:w="0" w:type="dxa"/>
            <w:bottom w:w="0" w:type="dxa"/>
            <w:right w:w="0" w:type="dxa"/>
          </w:tblCellMar>
        </w:tblPrEx>
        <w:trPr>
          <w:trHeight w:val="510" w:hRule="atLeast"/>
          <w:jc w:val="center"/>
        </w:trPr>
        <w:tc>
          <w:tcPr>
            <w:tcW w:w="9859"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cs="仿宋_GB2312"/>
                <w:color w:val="000000"/>
                <w:kern w:val="0"/>
                <w:szCs w:val="21"/>
              </w:rPr>
            </w:pPr>
            <w:r>
              <w:rPr>
                <w:rFonts w:eastAsia="黑体"/>
                <w:b/>
                <w:bCs/>
                <w:color w:val="000000"/>
                <w:kern w:val="0"/>
                <w:szCs w:val="21"/>
              </w:rPr>
              <w:t>I-1</w:t>
            </w:r>
            <w:r>
              <w:rPr>
                <w:rFonts w:ascii="仿宋_GB2312" w:eastAsia="仿宋_GB2312" w:cs="仿宋_GB2312"/>
                <w:color w:val="000000"/>
                <w:kern w:val="0"/>
                <w:szCs w:val="21"/>
              </w:rPr>
              <w:t xml:space="preserve"> </w:t>
            </w:r>
            <w:r>
              <w:rPr>
                <w:rFonts w:hint="eastAsia" w:ascii="仿宋_GB2312" w:eastAsia="仿宋_GB2312" w:cs="仿宋_GB2312"/>
                <w:color w:val="000000"/>
                <w:kern w:val="0"/>
                <w:szCs w:val="21"/>
              </w:rPr>
              <w:t>本一级学科现有学位点（含专业学位类别）情况（已是一级学科授权，二级学科不重复填写）</w:t>
            </w:r>
          </w:p>
        </w:tc>
      </w:tr>
      <w:tr>
        <w:tblPrEx>
          <w:tblCellMar>
            <w:top w:w="0" w:type="dxa"/>
            <w:left w:w="0" w:type="dxa"/>
            <w:bottom w:w="0" w:type="dxa"/>
            <w:right w:w="0" w:type="dxa"/>
          </w:tblCellMar>
        </w:tblPrEx>
        <w:trPr>
          <w:trHeight w:val="510"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学位点名称</w:t>
            </w: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授权层次类别</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学位点名称</w:t>
            </w: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r>
              <w:rPr>
                <w:rFonts w:hint="eastAsia" w:ascii="仿宋_GB2312" w:eastAsia="仿宋_GB2312" w:cs="仿宋_GB2312"/>
                <w:color w:val="000000"/>
                <w:kern w:val="0"/>
                <w:szCs w:val="21"/>
              </w:rPr>
              <w:t>授权层次类别</w:t>
            </w:r>
          </w:p>
        </w:tc>
      </w:tr>
      <w:tr>
        <w:tblPrEx>
          <w:tblCellMar>
            <w:top w:w="0" w:type="dxa"/>
            <w:left w:w="0" w:type="dxa"/>
            <w:bottom w:w="0" w:type="dxa"/>
            <w:right w:w="0" w:type="dxa"/>
          </w:tblCellMar>
        </w:tblPrEx>
        <w:trPr>
          <w:trHeight w:val="510"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10"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10"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CellMar>
            <w:top w:w="0" w:type="dxa"/>
            <w:left w:w="0" w:type="dxa"/>
            <w:bottom w:w="0" w:type="dxa"/>
            <w:right w:w="0" w:type="dxa"/>
          </w:tblCellMar>
        </w:tblPrEx>
        <w:trPr>
          <w:trHeight w:val="510"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c>
          <w:tcPr>
            <w:tcW w:w="257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cs="仿宋_GB2312"/>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859" w:type="dxa"/>
            <w:gridSpan w:val="14"/>
            <w:vAlign w:val="center"/>
          </w:tcPr>
          <w:p>
            <w:pPr>
              <w:spacing w:line="320" w:lineRule="exact"/>
              <w:jc w:val="left"/>
              <w:rPr>
                <w:rFonts w:hint="eastAsia" w:ascii="仿宋" w:hAnsi="仿宋" w:eastAsia="仿宋" w:cs="仿宋"/>
                <w:b/>
                <w:szCs w:val="21"/>
              </w:rPr>
            </w:pPr>
            <w:r>
              <w:rPr>
                <w:rFonts w:eastAsia="黑体"/>
                <w:b/>
                <w:bCs/>
                <w:color w:val="000000"/>
                <w:kern w:val="0"/>
                <w:szCs w:val="21"/>
              </w:rPr>
              <w:t>I-</w:t>
            </w:r>
            <w:r>
              <w:rPr>
                <w:rFonts w:ascii="仿宋" w:hAnsi="仿宋" w:eastAsia="仿宋" w:cs="仿宋"/>
                <w:b/>
                <w:szCs w:val="21"/>
              </w:rPr>
              <w:t>2</w:t>
            </w:r>
            <w:r>
              <w:rPr>
                <w:rFonts w:hint="eastAsia" w:ascii="仿宋" w:hAnsi="仿宋" w:eastAsia="仿宋" w:cs="仿宋"/>
                <w:b/>
                <w:szCs w:val="21"/>
              </w:rPr>
              <w:t>本一级学科点</w:t>
            </w:r>
            <w:r>
              <w:rPr>
                <w:rFonts w:hint="eastAsia" w:ascii="仿宋" w:hAnsi="仿宋" w:eastAsia="仿宋" w:cs="仿宋"/>
                <w:b/>
                <w:bCs/>
                <w:szCs w:val="21"/>
              </w:rPr>
              <w:t>专任教师总体情况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专业技术职务</w:t>
            </w:r>
          </w:p>
        </w:tc>
        <w:tc>
          <w:tcPr>
            <w:tcW w:w="1199"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专任教师人数合计</w:t>
            </w:r>
          </w:p>
        </w:tc>
        <w:tc>
          <w:tcPr>
            <w:tcW w:w="975"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35岁</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及以下</w:t>
            </w:r>
          </w:p>
        </w:tc>
        <w:tc>
          <w:tcPr>
            <w:tcW w:w="721"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36至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45岁</w:t>
            </w:r>
          </w:p>
        </w:tc>
        <w:tc>
          <w:tcPr>
            <w:tcW w:w="780"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46至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55岁</w:t>
            </w:r>
          </w:p>
        </w:tc>
        <w:tc>
          <w:tcPr>
            <w:tcW w:w="810"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56至</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60岁</w:t>
            </w:r>
          </w:p>
        </w:tc>
        <w:tc>
          <w:tcPr>
            <w:tcW w:w="1011"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61岁</w:t>
            </w:r>
          </w:p>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及以上</w:t>
            </w:r>
          </w:p>
        </w:tc>
        <w:tc>
          <w:tcPr>
            <w:tcW w:w="1044" w:type="dxa"/>
            <w:gridSpan w:val="2"/>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具有博士学位人数</w:t>
            </w:r>
          </w:p>
        </w:tc>
        <w:tc>
          <w:tcPr>
            <w:tcW w:w="1140"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具有海外经历人数</w:t>
            </w:r>
          </w:p>
        </w:tc>
        <w:tc>
          <w:tcPr>
            <w:tcW w:w="1024"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外籍教师人数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正高级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副高级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中 级</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其 他</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55" w:type="dxa"/>
            <w:vAlign w:val="center"/>
          </w:tcPr>
          <w:p>
            <w:pPr>
              <w:widowControl/>
              <w:adjustRightInd w:val="0"/>
              <w:snapToGrid w:val="0"/>
              <w:jc w:val="center"/>
              <w:rPr>
                <w:rFonts w:hint="eastAsia" w:ascii="仿宋" w:hAnsi="仿宋" w:eastAsia="仿宋" w:cs="仿宋"/>
                <w:szCs w:val="21"/>
              </w:rPr>
            </w:pPr>
            <w:r>
              <w:rPr>
                <w:rFonts w:hint="eastAsia" w:ascii="仿宋" w:hAnsi="仿宋" w:eastAsia="仿宋" w:cs="仿宋"/>
                <w:szCs w:val="21"/>
              </w:rPr>
              <w:t>总 计</w:t>
            </w:r>
          </w:p>
        </w:tc>
        <w:tc>
          <w:tcPr>
            <w:tcW w:w="1199" w:type="dxa"/>
            <w:vAlign w:val="center"/>
          </w:tcPr>
          <w:p>
            <w:pPr>
              <w:widowControl/>
              <w:adjustRightInd w:val="0"/>
              <w:snapToGrid w:val="0"/>
              <w:jc w:val="center"/>
              <w:rPr>
                <w:rFonts w:hint="eastAsia" w:ascii="仿宋" w:hAnsi="仿宋" w:eastAsia="仿宋" w:cs="仿宋"/>
                <w:szCs w:val="21"/>
              </w:rPr>
            </w:pPr>
          </w:p>
        </w:tc>
        <w:tc>
          <w:tcPr>
            <w:tcW w:w="975" w:type="dxa"/>
            <w:gridSpan w:val="2"/>
            <w:vAlign w:val="center"/>
          </w:tcPr>
          <w:p>
            <w:pPr>
              <w:widowControl/>
              <w:adjustRightInd w:val="0"/>
              <w:snapToGrid w:val="0"/>
              <w:jc w:val="center"/>
              <w:rPr>
                <w:rFonts w:hint="eastAsia" w:ascii="仿宋" w:hAnsi="仿宋" w:eastAsia="仿宋" w:cs="仿宋"/>
                <w:szCs w:val="21"/>
              </w:rPr>
            </w:pPr>
          </w:p>
        </w:tc>
        <w:tc>
          <w:tcPr>
            <w:tcW w:w="721" w:type="dxa"/>
            <w:gridSpan w:val="2"/>
            <w:vAlign w:val="center"/>
          </w:tcPr>
          <w:p>
            <w:pPr>
              <w:widowControl/>
              <w:adjustRightInd w:val="0"/>
              <w:snapToGrid w:val="0"/>
              <w:jc w:val="center"/>
              <w:rPr>
                <w:rFonts w:hint="eastAsia" w:ascii="仿宋" w:hAnsi="仿宋" w:eastAsia="仿宋" w:cs="仿宋"/>
                <w:szCs w:val="21"/>
              </w:rPr>
            </w:pPr>
          </w:p>
        </w:tc>
        <w:tc>
          <w:tcPr>
            <w:tcW w:w="780" w:type="dxa"/>
            <w:vAlign w:val="center"/>
          </w:tcPr>
          <w:p>
            <w:pPr>
              <w:widowControl/>
              <w:adjustRightInd w:val="0"/>
              <w:snapToGrid w:val="0"/>
              <w:jc w:val="center"/>
              <w:rPr>
                <w:rFonts w:hint="eastAsia" w:ascii="仿宋" w:hAnsi="仿宋" w:eastAsia="仿宋" w:cs="仿宋"/>
                <w:szCs w:val="21"/>
              </w:rPr>
            </w:pPr>
          </w:p>
        </w:tc>
        <w:tc>
          <w:tcPr>
            <w:tcW w:w="810" w:type="dxa"/>
            <w:gridSpan w:val="2"/>
            <w:vAlign w:val="center"/>
          </w:tcPr>
          <w:p>
            <w:pPr>
              <w:widowControl/>
              <w:adjustRightInd w:val="0"/>
              <w:snapToGrid w:val="0"/>
              <w:jc w:val="center"/>
              <w:rPr>
                <w:rFonts w:hint="eastAsia" w:ascii="仿宋" w:hAnsi="仿宋" w:eastAsia="仿宋" w:cs="仿宋"/>
                <w:szCs w:val="21"/>
              </w:rPr>
            </w:pPr>
          </w:p>
        </w:tc>
        <w:tc>
          <w:tcPr>
            <w:tcW w:w="1011" w:type="dxa"/>
            <w:vAlign w:val="center"/>
          </w:tcPr>
          <w:p>
            <w:pPr>
              <w:widowControl/>
              <w:adjustRightInd w:val="0"/>
              <w:snapToGrid w:val="0"/>
              <w:jc w:val="center"/>
              <w:rPr>
                <w:rFonts w:hint="eastAsia" w:ascii="仿宋" w:hAnsi="仿宋" w:eastAsia="仿宋" w:cs="仿宋"/>
                <w:szCs w:val="21"/>
              </w:rPr>
            </w:pPr>
          </w:p>
        </w:tc>
        <w:tc>
          <w:tcPr>
            <w:tcW w:w="1044" w:type="dxa"/>
            <w:gridSpan w:val="2"/>
            <w:vAlign w:val="center"/>
          </w:tcPr>
          <w:p>
            <w:pPr>
              <w:widowControl/>
              <w:adjustRightInd w:val="0"/>
              <w:snapToGrid w:val="0"/>
              <w:jc w:val="center"/>
              <w:rPr>
                <w:rFonts w:hint="eastAsia" w:ascii="仿宋" w:hAnsi="仿宋" w:eastAsia="仿宋" w:cs="仿宋"/>
                <w:szCs w:val="21"/>
              </w:rPr>
            </w:pPr>
          </w:p>
        </w:tc>
        <w:tc>
          <w:tcPr>
            <w:tcW w:w="1140" w:type="dxa"/>
            <w:vAlign w:val="center"/>
          </w:tcPr>
          <w:p>
            <w:pPr>
              <w:widowControl/>
              <w:adjustRightInd w:val="0"/>
              <w:snapToGrid w:val="0"/>
              <w:jc w:val="center"/>
              <w:rPr>
                <w:rFonts w:hint="eastAsia" w:ascii="仿宋" w:hAnsi="仿宋" w:eastAsia="仿宋" w:cs="仿宋"/>
                <w:szCs w:val="21"/>
              </w:rPr>
            </w:pPr>
          </w:p>
        </w:tc>
        <w:tc>
          <w:tcPr>
            <w:tcW w:w="1024" w:type="dxa"/>
            <w:vAlign w:val="center"/>
          </w:tcPr>
          <w:p>
            <w:pPr>
              <w:widowControl/>
              <w:adjustRightInd w:val="0"/>
              <w:snapToGrid w:val="0"/>
              <w:jc w:val="center"/>
              <w:rPr>
                <w:rFonts w:hint="eastAsia" w:ascii="仿宋" w:hAnsi="仿宋" w:eastAsia="仿宋" w:cs="仿宋"/>
                <w:szCs w:val="21"/>
              </w:rPr>
            </w:pPr>
          </w:p>
        </w:tc>
      </w:tr>
      <w:tr>
        <w:tblPrEx>
          <w:tblCellMar>
            <w:top w:w="0" w:type="dxa"/>
            <w:left w:w="0" w:type="dxa"/>
            <w:bottom w:w="0" w:type="dxa"/>
            <w:right w:w="0" w:type="dxa"/>
          </w:tblCellMar>
        </w:tblPrEx>
        <w:trPr>
          <w:trHeight w:val="510" w:hRule="atLeast"/>
          <w:jc w:val="center"/>
        </w:trPr>
        <w:tc>
          <w:tcPr>
            <w:tcW w:w="35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957"/>
              <w:jc w:val="left"/>
              <w:rPr>
                <w:rFonts w:ascii="仿宋_GB2312" w:eastAsia="仿宋_GB2312" w:cs="仿宋_GB2312"/>
                <w:color w:val="000000"/>
                <w:kern w:val="0"/>
                <w:sz w:val="20"/>
              </w:rPr>
            </w:pPr>
            <w:r>
              <w:rPr>
                <w:rFonts w:hint="eastAsia" w:ascii="仿宋_GB2312" w:eastAsia="仿宋_GB2312" w:cs="仿宋_GB2312"/>
                <w:color w:val="000000"/>
                <w:kern w:val="0"/>
                <w:sz w:val="20"/>
              </w:rPr>
              <w:t>最高学位非本单位</w:t>
            </w:r>
          </w:p>
          <w:p>
            <w:pPr>
              <w:autoSpaceDE w:val="0"/>
              <w:autoSpaceDN w:val="0"/>
              <w:adjustRightInd w:val="0"/>
              <w:spacing w:line="273" w:lineRule="exact"/>
              <w:ind w:left="1168"/>
              <w:jc w:val="left"/>
              <w:rPr>
                <w:rFonts w:ascii="仿宋_GB2312" w:eastAsia="仿宋_GB2312" w:cs="仿宋_GB2312"/>
                <w:color w:val="000000"/>
                <w:kern w:val="0"/>
                <w:sz w:val="20"/>
              </w:rPr>
            </w:pPr>
            <w:r>
              <w:rPr>
                <w:rFonts w:hint="eastAsia" w:ascii="仿宋_GB2312" w:eastAsia="仿宋_GB2312" w:cs="仿宋_GB2312"/>
                <w:color w:val="000000"/>
                <w:kern w:val="0"/>
                <w:sz w:val="20"/>
              </w:rPr>
              <w:t>人数（比例）</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0" w:lineRule="exact"/>
              <w:ind w:left="655"/>
              <w:jc w:val="left"/>
              <w:rPr>
                <w:rFonts w:ascii="仿宋_GB2312" w:eastAsia="仿宋_GB2312" w:cs="仿宋_GB2312"/>
                <w:color w:val="000000"/>
                <w:kern w:val="0"/>
                <w:sz w:val="20"/>
              </w:rPr>
            </w:pPr>
            <w:r>
              <w:rPr>
                <w:rFonts w:hint="eastAsia" w:ascii="仿宋_GB2312" w:eastAsia="仿宋_GB2312" w:cs="仿宋_GB2312"/>
                <w:color w:val="000000"/>
                <w:kern w:val="0"/>
                <w:sz w:val="20"/>
              </w:rPr>
              <w:t>导师人数（比例）</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30" w:lineRule="exact"/>
              <w:ind w:left="657"/>
              <w:jc w:val="left"/>
              <w:rPr>
                <w:rFonts w:ascii="仿宋_GB2312" w:eastAsia="仿宋_GB2312" w:cs="仿宋_GB2312"/>
                <w:color w:val="000000"/>
                <w:kern w:val="0"/>
                <w:sz w:val="20"/>
              </w:rPr>
            </w:pPr>
            <w:r>
              <w:rPr>
                <w:rFonts w:hint="eastAsia" w:ascii="仿宋_GB2312" w:eastAsia="仿宋_GB2312" w:cs="仿宋_GB2312"/>
                <w:color w:val="000000"/>
                <w:kern w:val="0"/>
                <w:sz w:val="20"/>
              </w:rPr>
              <w:t>博导人数（比例）</w:t>
            </w:r>
          </w:p>
        </w:tc>
      </w:tr>
      <w:tr>
        <w:tblPrEx>
          <w:tblCellMar>
            <w:top w:w="0" w:type="dxa"/>
            <w:left w:w="0" w:type="dxa"/>
            <w:bottom w:w="0" w:type="dxa"/>
            <w:right w:w="0" w:type="dxa"/>
          </w:tblCellMar>
        </w:tblPrEx>
        <w:trPr>
          <w:trHeight w:val="510" w:hRule="atLeast"/>
          <w:jc w:val="center"/>
        </w:trPr>
        <w:tc>
          <w:tcPr>
            <w:tcW w:w="3577"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4" w:lineRule="exact"/>
              <w:ind w:left="1274"/>
              <w:jc w:val="left"/>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c>
          <w:tcPr>
            <w:tcW w:w="3074" w:type="dxa"/>
            <w:gridSpan w:val="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4" w:lineRule="exact"/>
              <w:ind w:left="972"/>
              <w:jc w:val="left"/>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c>
          <w:tcPr>
            <w:tcW w:w="3208"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4" w:lineRule="exact"/>
              <w:ind w:left="975"/>
              <w:jc w:val="left"/>
              <w:rPr>
                <w:rFonts w:ascii="仿宋_GB2312" w:eastAsia="仿宋_GB2312" w:cs="仿宋_GB2312"/>
                <w:color w:val="000000"/>
                <w:kern w:val="0"/>
                <w:sz w:val="20"/>
              </w:rPr>
            </w:pPr>
            <w:r>
              <w:rPr>
                <w:rFonts w:hint="eastAsia" w:ascii="仿宋_GB2312" w:eastAsia="仿宋_GB2312" w:cs="仿宋_GB2312"/>
                <w:color w:val="000000"/>
                <w:kern w:val="0"/>
                <w:sz w:val="20"/>
              </w:rPr>
              <w:t>人</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r>
              <w:rPr>
                <w:rFonts w:ascii="仿宋_GB2312" w:eastAsia="仿宋_GB2312" w:cs="仿宋_GB2312"/>
                <w:color w:val="000000"/>
                <w:kern w:val="0"/>
                <w:sz w:val="20"/>
              </w:rPr>
              <w:t xml:space="preserve"> </w:t>
            </w:r>
            <w:r>
              <w:rPr>
                <w:rFonts w:hint="eastAsia" w:ascii="仿宋_GB2312" w:eastAsia="仿宋_GB2312" w:cs="仿宋_GB2312"/>
                <w:color w:val="000000"/>
                <w:kern w:val="0"/>
                <w:sz w:val="20"/>
              </w:rPr>
              <w:t>％）</w:t>
            </w:r>
          </w:p>
        </w:tc>
      </w:tr>
    </w:tbl>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ascii="宋体" w:cs="宋体"/>
          <w:color w:val="000000"/>
          <w:kern w:val="0"/>
          <w:sz w:val="18"/>
          <w:szCs w:val="18"/>
        </w:rPr>
      </w:pPr>
    </w:p>
    <w:p>
      <w:pPr>
        <w:rPr>
          <w:rFonts w:hint="eastAsia"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ascii="黑体" w:eastAsia="黑体"/>
          <w:sz w:val="24"/>
          <w:szCs w:val="24"/>
        </w:rPr>
      </w:pPr>
    </w:p>
    <w:p>
      <w:pPr>
        <w:rPr>
          <w:rFonts w:hint="eastAsia" w:ascii="黑体" w:eastAsia="黑体"/>
          <w:sz w:val="24"/>
          <w:szCs w:val="24"/>
        </w:rPr>
      </w:pPr>
    </w:p>
    <w:p>
      <w:pPr>
        <w:rPr>
          <w:rFonts w:ascii="黑体" w:eastAsia="黑体"/>
          <w:sz w:val="24"/>
          <w:szCs w:val="24"/>
        </w:rPr>
      </w:pPr>
    </w:p>
    <w:p>
      <w:pPr>
        <w:rPr>
          <w:rFonts w:ascii="黑体" w:eastAsia="黑体"/>
          <w:sz w:val="24"/>
          <w:szCs w:val="24"/>
        </w:rPr>
      </w:pPr>
    </w:p>
    <w:p>
      <w:pPr>
        <w:rPr>
          <w:rFonts w:hint="eastAsia" w:ascii="黑体" w:eastAsia="黑体"/>
          <w:sz w:val="24"/>
          <w:szCs w:val="24"/>
        </w:rPr>
      </w:pPr>
    </w:p>
    <w:p>
      <w:pPr>
        <w:rPr>
          <w:rFonts w:hint="eastAsia" w:ascii="黑体" w:eastAsia="黑体"/>
          <w:sz w:val="24"/>
          <w:szCs w:val="24"/>
        </w:rPr>
      </w:pPr>
    </w:p>
    <w:p>
      <w:pPr>
        <w:rPr>
          <w:rFonts w:ascii="黑体" w:eastAsia="黑体"/>
          <w:sz w:val="24"/>
          <w:szCs w:val="24"/>
        </w:rPr>
      </w:pPr>
      <w:r>
        <w:rPr>
          <w:rFonts w:hint="eastAsia" w:ascii="黑体" w:eastAsia="黑体"/>
          <w:sz w:val="24"/>
          <w:szCs w:val="24"/>
        </w:rPr>
        <w:fldChar w:fldCharType="begin"/>
      </w:r>
      <w:r>
        <w:rPr>
          <w:rFonts w:hint="eastAsia" w:ascii="黑体" w:eastAsia="黑体"/>
          <w:sz w:val="24"/>
          <w:szCs w:val="24"/>
        </w:rPr>
        <w:instrText xml:space="preserve"> = 2 \* ROMAN \* MERGEFORMAT </w:instrText>
      </w:r>
      <w:r>
        <w:rPr>
          <w:rFonts w:hint="eastAsia" w:ascii="黑体" w:eastAsia="黑体"/>
          <w:sz w:val="24"/>
          <w:szCs w:val="24"/>
        </w:rPr>
        <w:fldChar w:fldCharType="separate"/>
      </w:r>
      <w:r>
        <w:rPr>
          <w:rFonts w:hint="eastAsia" w:ascii="黑体" w:eastAsia="黑体"/>
          <w:sz w:val="24"/>
          <w:szCs w:val="24"/>
        </w:rPr>
        <w:t>II</w:t>
      </w:r>
      <w:r>
        <w:rPr>
          <w:rFonts w:hint="eastAsia" w:ascii="黑体" w:eastAsia="黑体"/>
          <w:sz w:val="24"/>
          <w:szCs w:val="24"/>
        </w:rPr>
        <w:fldChar w:fldCharType="end"/>
      </w:r>
      <w:r>
        <w:rPr>
          <w:rFonts w:hint="eastAsia" w:ascii="黑体" w:eastAsia="黑体"/>
          <w:sz w:val="24"/>
          <w:szCs w:val="24"/>
        </w:rPr>
        <w:t>建设任务完成情况</w:t>
      </w:r>
    </w:p>
    <w:p>
      <w:pPr>
        <w:rPr>
          <w:rFonts w:hint="eastAsia" w:ascii="黑体" w:eastAsia="黑体"/>
          <w:sz w:val="24"/>
          <w:szCs w:val="24"/>
        </w:rPr>
      </w:pP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275"/>
        <w:gridCol w:w="1276"/>
        <w:gridCol w:w="1276"/>
        <w:gridCol w:w="1559"/>
        <w:gridCol w:w="1418"/>
      </w:tblGrid>
      <w:tr>
        <w:tblPrEx>
          <w:tblCellMar>
            <w:top w:w="0" w:type="dxa"/>
            <w:left w:w="0" w:type="dxa"/>
            <w:bottom w:w="0" w:type="dxa"/>
            <w:right w:w="0" w:type="dxa"/>
          </w:tblCellMar>
        </w:tblPrEx>
        <w:trPr>
          <w:trHeight w:val="45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-1 </w:t>
            </w:r>
            <w:r>
              <w:rPr>
                <w:rFonts w:hint="eastAsia" w:ascii="仿宋_GB2312" w:eastAsia="仿宋_GB2312" w:cs="仿宋_GB2312"/>
                <w:color w:val="000000"/>
                <w:kern w:val="0"/>
                <w:szCs w:val="21"/>
              </w:rPr>
              <w:t>学术队伍</w:t>
            </w:r>
          </w:p>
        </w:tc>
      </w:tr>
      <w:tr>
        <w:tblPrEx>
          <w:tblCellMar>
            <w:top w:w="0" w:type="dxa"/>
            <w:left w:w="0" w:type="dxa"/>
            <w:bottom w:w="0" w:type="dxa"/>
            <w:right w:w="0" w:type="dxa"/>
          </w:tblCellMar>
        </w:tblPrEx>
        <w:trPr>
          <w:trHeight w:val="160"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382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55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418"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r>
      <w:tr>
        <w:tblPrEx>
          <w:tblCellMar>
            <w:top w:w="0" w:type="dxa"/>
            <w:left w:w="0" w:type="dxa"/>
            <w:bottom w:w="0" w:type="dxa"/>
            <w:right w:w="0" w:type="dxa"/>
          </w:tblCellMar>
        </w:tblPrEx>
        <w:trPr>
          <w:trHeight w:val="165"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2018</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2019</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2020</w:t>
            </w:r>
          </w:p>
        </w:tc>
        <w:tc>
          <w:tcPr>
            <w:tcW w:w="155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1418"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队伍总数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正高职人数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高级职称中55岁以下人员比例</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博士比例</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副高职人数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hint="eastAsia" w:ascii="仿宋_GB2312" w:eastAsia="仿宋_GB2312"/>
                <w:bCs/>
              </w:rPr>
              <w:t>海外经历</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教师比例</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国家人才数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省级人才数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国家级教学团队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省部级教学团队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hint="eastAsia" w:ascii="仿宋_GB2312" w:eastAsia="仿宋_GB2312"/>
                <w:bCs/>
              </w:rPr>
              <w:t>长白山学者</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（技能名师）</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ascii="仿宋_GB2312" w:eastAsia="仿宋_GB2312"/>
                <w:bC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ascii="仿宋_GB2312" w:eastAsia="仿宋_GB2312"/>
                <w:bCs/>
              </w:rPr>
              <w:t>—</w:t>
            </w: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国家级科研团队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省部级科研团队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653"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ascii="宋体" w:hAns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w:t>
      </w:r>
      <w:r>
        <w:rPr>
          <w:rFonts w:ascii="宋体" w:hAnsi="宋体"/>
          <w:sz w:val="18"/>
          <w:szCs w:val="18"/>
        </w:rPr>
        <w:t>—</w:t>
      </w:r>
      <w:r>
        <w:rPr>
          <w:rFonts w:hint="eastAsia" w:ascii="宋体" w:hAnsi="宋体"/>
          <w:sz w:val="18"/>
          <w:szCs w:val="18"/>
        </w:rPr>
        <w:t>”表示该项不进行填写；</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rPr>
        <w:t xml:space="preserve">“队伍总数”是指本学科专任教师数，“博士比例”、“海外经历教师比例”指占专任教师总数的比例； </w:t>
      </w:r>
    </w:p>
    <w:p>
      <w:pPr>
        <w:adjustRightInd w:val="0"/>
        <w:snapToGrid w:val="0"/>
        <w:spacing w:line="360" w:lineRule="exact"/>
        <w:ind w:firstLine="360" w:firstLineChars="200"/>
        <w:rPr>
          <w:rFonts w:ascii="宋体" w:hAnsi="宋体"/>
          <w:sz w:val="18"/>
          <w:szCs w:val="18"/>
        </w:rPr>
      </w:pPr>
      <w:r>
        <w:rPr>
          <w:rFonts w:ascii="宋体" w:hAnsi="宋体"/>
          <w:sz w:val="18"/>
          <w:szCs w:val="18"/>
        </w:rPr>
        <w:t>3.</w:t>
      </w:r>
      <w:r>
        <w:rPr>
          <w:rFonts w:hint="eastAsia" w:ascii="宋体" w:hAnsi="宋体"/>
          <w:sz w:val="18"/>
          <w:szCs w:val="18"/>
        </w:rPr>
        <w:t>“海外经历”是指在境外高校/研究机构获得学位，或从事教学、科研工作时间 3 个月以上；</w:t>
      </w:r>
    </w:p>
    <w:p>
      <w:pPr>
        <w:adjustRightInd w:val="0"/>
        <w:snapToGrid w:val="0"/>
        <w:spacing w:line="360" w:lineRule="exact"/>
        <w:ind w:firstLine="360" w:firstLineChars="200"/>
        <w:rPr>
          <w:rFonts w:hint="eastAsia" w:ascii="宋体" w:hAnsi="宋体"/>
          <w:sz w:val="18"/>
          <w:szCs w:val="18"/>
        </w:rPr>
      </w:pPr>
      <w:r>
        <w:rPr>
          <w:rFonts w:ascii="宋体" w:hAnsi="宋体"/>
          <w:sz w:val="18"/>
          <w:szCs w:val="18"/>
        </w:rPr>
        <w:t>4.</w:t>
      </w:r>
      <w:r>
        <w:rPr>
          <w:rFonts w:hint="eastAsia" w:ascii="宋体" w:hAnsi="宋体"/>
          <w:sz w:val="18"/>
          <w:szCs w:val="18"/>
        </w:rPr>
        <w:t>“国家人才数”填写立项建设申报书中“学术队伍”部分院士等处于学科前沿且在国内外相关领域具有较高影响力的国家级人才数量。</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5.“省级人才数”填立项建设申报书中“其他省部级人才”数据。指处于学科前沿且在国内外相关领域具有相应影响力的省级人才数量。主要包括省委组织部、省人力资源与社会保障厅、省科技厅、省教育厅等部门评审的各类人才称号获得者；</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6.“国家级科研团队”和“国家级教学团队”是指以高层次人才为核心组建的教学和研究团队数，包括国家级教学团队、科技部创新团队、教育部创新团队、国防科技创新团队、国家自然科学基金委创新研究群体。“省部级科研团队”和“省部级教学团队”是指以高层次人才为核心组建的省部级教学和研究团队数，包括省部级教学团队、省部级研究团队。</w:t>
      </w:r>
    </w:p>
    <w:p>
      <w:pPr>
        <w:adjustRightInd w:val="0"/>
        <w:snapToGrid w:val="0"/>
        <w:spacing w:line="360" w:lineRule="exact"/>
        <w:rPr>
          <w:rFonts w:hint="eastAsia" w:ascii="宋体" w:hAnsi="宋体"/>
          <w:sz w:val="18"/>
          <w:szCs w:val="18"/>
        </w:rPr>
      </w:pP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275"/>
        <w:gridCol w:w="1276"/>
        <w:gridCol w:w="1276"/>
        <w:gridCol w:w="1559"/>
        <w:gridCol w:w="1418"/>
      </w:tblGrid>
      <w:tr>
        <w:tblPrEx>
          <w:tblCellMar>
            <w:top w:w="0" w:type="dxa"/>
            <w:left w:w="0" w:type="dxa"/>
            <w:bottom w:w="0" w:type="dxa"/>
            <w:right w:w="0" w:type="dxa"/>
          </w:tblCellMar>
        </w:tblPrEx>
        <w:trPr>
          <w:trHeight w:val="27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-2 </w:t>
            </w:r>
            <w:r>
              <w:rPr>
                <w:rFonts w:hint="eastAsia" w:ascii="仿宋_GB2312" w:eastAsia="仿宋_GB2312" w:cs="仿宋_GB2312"/>
                <w:color w:val="000000"/>
                <w:kern w:val="0"/>
                <w:szCs w:val="21"/>
              </w:rPr>
              <w:t>科学研究</w:t>
            </w:r>
          </w:p>
        </w:tc>
      </w:tr>
      <w:tr>
        <w:tblPrEx>
          <w:tblCellMar>
            <w:top w:w="0" w:type="dxa"/>
            <w:left w:w="0" w:type="dxa"/>
            <w:bottom w:w="0" w:type="dxa"/>
            <w:right w:w="0" w:type="dxa"/>
          </w:tblCellMar>
        </w:tblPrEx>
        <w:trPr>
          <w:trHeight w:val="160"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382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55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418"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r>
      <w:tr>
        <w:tblPrEx>
          <w:tblCellMar>
            <w:top w:w="0" w:type="dxa"/>
            <w:left w:w="0" w:type="dxa"/>
            <w:bottom w:w="0" w:type="dxa"/>
            <w:right w:w="0" w:type="dxa"/>
          </w:tblCellMar>
        </w:tblPrEx>
        <w:trPr>
          <w:trHeight w:val="165"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2018</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2019</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2020</w:t>
            </w:r>
          </w:p>
        </w:tc>
        <w:tc>
          <w:tcPr>
            <w:tcW w:w="155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1418"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科研经费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纵向经费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年人均科研经费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36"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新增项目数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00" w:hRule="atLeast"/>
        </w:trPr>
        <w:tc>
          <w:tcPr>
            <w:tcW w:w="213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ascii="仿宋_GB2312" w:eastAsia="仿宋_GB2312"/>
                <w:bCs/>
              </w:rPr>
              <w:t>国家级项目数</w:t>
            </w: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12" w:hRule="atLeast"/>
        </w:trPr>
        <w:tc>
          <w:tcPr>
            <w:tcW w:w="213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省部级项目数</w:t>
            </w: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国家科技奖励</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省部科技奖励</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SCI/</w:t>
            </w:r>
            <w:r>
              <w:rPr>
                <w:rFonts w:ascii="仿宋_GB2312" w:eastAsia="仿宋_GB2312"/>
                <w:bCs/>
              </w:rPr>
              <w:t>SSCI/</w:t>
            </w:r>
            <w:r>
              <w:rPr>
                <w:rFonts w:hint="eastAsia" w:ascii="仿宋_GB2312" w:eastAsia="仿宋_GB2312"/>
                <w:bCs/>
              </w:rPr>
              <w:t>CSSCI论文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高被引论文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ascii="仿宋_GB2312" w:eastAsia="仿宋_GB2312"/>
                <w:bCs/>
              </w:rPr>
              <w:t>—</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ascii="仿宋_GB2312" w:eastAsia="仿宋_GB2312"/>
                <w:bCs/>
              </w:rPr>
              <w:t>—</w:t>
            </w: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国际学术会议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全国学术会议</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授权发明专利</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学术专著</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转化应用项目数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hint="eastAsia" w:ascii="仿宋_GB2312" w:eastAsia="仿宋_GB2312"/>
                <w:bCs/>
              </w:rPr>
              <w:t>获得转化应用</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经费数（万元）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552"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ascii="宋体" w:hAnsi="宋体"/>
          <w:sz w:val="18"/>
          <w:szCs w:val="18"/>
        </w:rPr>
      </w:pPr>
      <w:r>
        <w:rPr>
          <w:rFonts w:hint="eastAsia" w:ascii="宋体" w:hAnsi="宋体"/>
          <w:sz w:val="18"/>
          <w:szCs w:val="18"/>
        </w:rPr>
        <w:t>注：1.</w:t>
      </w:r>
      <w:r>
        <w:rPr>
          <w:rFonts w:ascii="宋体" w:hAnsi="宋体"/>
          <w:sz w:val="18"/>
          <w:szCs w:val="18"/>
        </w:rPr>
        <w:t>经费不含配套经费</w:t>
      </w:r>
      <w:r>
        <w:rPr>
          <w:rFonts w:hint="eastAsia" w:ascii="宋体" w:hAnsi="宋体"/>
          <w:sz w:val="18"/>
          <w:szCs w:val="18"/>
        </w:rPr>
        <w:t>，</w:t>
      </w:r>
      <w:r>
        <w:rPr>
          <w:rFonts w:ascii="宋体" w:hAnsi="宋体"/>
          <w:sz w:val="18"/>
          <w:szCs w:val="18"/>
        </w:rPr>
        <w:t>完成情况须填写实际获得并计入财务账目的到款经费数</w:t>
      </w:r>
      <w:r>
        <w:rPr>
          <w:rFonts w:hint="eastAsia" w:ascii="宋体" w:hAnsi="宋体"/>
          <w:sz w:val="18"/>
          <w:szCs w:val="18"/>
        </w:rPr>
        <w:t>；</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2.“年人均科研经费”=本学科科研经费总额/专任教师队伍数/项目建设期年数；</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“国家级项目”填写立项建设申报书中“国家基金重大、重点项目” “国家重大科技计划项目” “国家基金面上项目”“国家基金其他项目”合计数。指国家自然科学基金、国家科技重大专项、国家重点研发计划、国家社会科学基金等；</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4.“省部级项目”填写立项建设申报书中“国务院部门项目”“省级项目”合计数。指中央和国家机关委托项目、教育部人文社科项目、全国古委会项目、有关行业和重要企业委托项目、省人文社科、哲学社科基金、省自然科学基金等；</w:t>
      </w:r>
      <w:r>
        <w:rPr>
          <w:rFonts w:ascii="宋体" w:hAnsi="宋体"/>
          <w:sz w:val="18"/>
          <w:szCs w:val="18"/>
        </w:rPr>
        <w:t xml:space="preserve"> </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5.“国家科技奖励”指获得国家科学技术奖（包括最高科学技术奖、自然科学奖、技术发明奖、科技进步奖、国际科学技术合作奖）、教育部高等学校科学研究优秀成果奖（人文社科）的数量；</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6.“省部科技奖励”获得国家部委、军队、省级政府评审的科学技术类、人文社会科学类奖项数；</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7.“国际学术会议”指本学科团队人员参加大型国际会议数，“全国学术会议”指本学科举办、协办大型国内会议数；</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8.专利仅限“第一专利权人”单位填写。</w:t>
      </w: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275"/>
        <w:gridCol w:w="1276"/>
        <w:gridCol w:w="1276"/>
        <w:gridCol w:w="1559"/>
        <w:gridCol w:w="1418"/>
      </w:tblGrid>
      <w:tr>
        <w:tblPrEx>
          <w:tblCellMar>
            <w:top w:w="0" w:type="dxa"/>
            <w:left w:w="0" w:type="dxa"/>
            <w:bottom w:w="0" w:type="dxa"/>
            <w:right w:w="0" w:type="dxa"/>
          </w:tblCellMar>
        </w:tblPrEx>
        <w:trPr>
          <w:trHeight w:val="45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 xml:space="preserve">-3 </w:t>
            </w:r>
            <w:r>
              <w:rPr>
                <w:rFonts w:hint="eastAsia" w:ascii="仿宋_GB2312" w:eastAsia="仿宋_GB2312" w:cs="仿宋_GB2312"/>
                <w:color w:val="000000"/>
                <w:kern w:val="0"/>
                <w:szCs w:val="21"/>
              </w:rPr>
              <w:t>人才培养</w:t>
            </w:r>
          </w:p>
        </w:tc>
      </w:tr>
      <w:tr>
        <w:tblPrEx>
          <w:tblCellMar>
            <w:top w:w="0" w:type="dxa"/>
            <w:left w:w="0" w:type="dxa"/>
            <w:bottom w:w="0" w:type="dxa"/>
            <w:right w:w="0" w:type="dxa"/>
          </w:tblCellMar>
        </w:tblPrEx>
        <w:trPr>
          <w:trHeight w:val="160"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382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55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418"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r>
      <w:tr>
        <w:tblPrEx>
          <w:tblCellMar>
            <w:top w:w="0" w:type="dxa"/>
            <w:left w:w="0" w:type="dxa"/>
            <w:bottom w:w="0" w:type="dxa"/>
            <w:right w:w="0" w:type="dxa"/>
          </w:tblCellMar>
        </w:tblPrEx>
        <w:trPr>
          <w:trHeight w:val="165"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2018</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2019</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2020</w:t>
            </w:r>
          </w:p>
        </w:tc>
        <w:tc>
          <w:tcPr>
            <w:tcW w:w="155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1418"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博士招生数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硕士招生数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授予博士数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授予硕士数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50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hint="eastAsia" w:ascii="仿宋_GB2312" w:eastAsia="仿宋_GB2312"/>
                <w:bCs/>
              </w:rPr>
              <w:t>来华留学博士、</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硕士生数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12"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研究生海外交流数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研究生发表论文数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研究生论文SCI、EI、CSSCI收录数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研究生专利数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国际合作办学项目数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省优秀博士论文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省优秀硕士论文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国家教学成果奖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省教学成果奖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研究生国家级竞赛</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研究生省级竞赛</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体育赛事、创作设计获奖数</w:t>
            </w:r>
          </w:p>
        </w:tc>
        <w:tc>
          <w:tcPr>
            <w:tcW w:w="38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策划、举办或参加的重要展演、赛事活动数</w:t>
            </w:r>
          </w:p>
        </w:tc>
        <w:tc>
          <w:tcPr>
            <w:tcW w:w="38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653"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ascii="宋体" w:hAnsi="宋体"/>
          <w:sz w:val="18"/>
          <w:szCs w:val="18"/>
        </w:rPr>
      </w:pPr>
      <w:r>
        <w:rPr>
          <w:rFonts w:hint="eastAsia" w:ascii="宋体" w:hAnsi="宋体" w:cs="宋体"/>
          <w:bCs/>
          <w:sz w:val="18"/>
          <w:szCs w:val="18"/>
        </w:rPr>
        <w:t>注：</w:t>
      </w:r>
      <w:r>
        <w:rPr>
          <w:rFonts w:hint="eastAsia" w:ascii="宋体" w:hAnsi="宋体"/>
          <w:sz w:val="18"/>
          <w:szCs w:val="18"/>
        </w:rPr>
        <w:t>1</w:t>
      </w:r>
      <w:r>
        <w:rPr>
          <w:rFonts w:ascii="宋体" w:hAnsi="宋体"/>
          <w:sz w:val="18"/>
          <w:szCs w:val="18"/>
        </w:rPr>
        <w:t>.</w:t>
      </w:r>
      <w:r>
        <w:rPr>
          <w:rFonts w:hint="eastAsia" w:ascii="宋体" w:hAnsi="宋体"/>
          <w:sz w:val="18"/>
          <w:szCs w:val="18"/>
        </w:rPr>
        <w:t>“来华留学博士、硕士生数”仅统计在校学位生不含学历生、交换生、交流生、预科生和语言培训学生；</w:t>
      </w:r>
    </w:p>
    <w:p>
      <w:pPr>
        <w:adjustRightInd w:val="0"/>
        <w:snapToGrid w:val="0"/>
        <w:spacing w:line="360" w:lineRule="exact"/>
        <w:ind w:firstLine="360" w:firstLineChars="200"/>
        <w:rPr>
          <w:rFonts w:ascii="宋体" w:hAnsi="宋体"/>
          <w:sz w:val="18"/>
          <w:szCs w:val="18"/>
        </w:rPr>
      </w:pPr>
      <w:r>
        <w:rPr>
          <w:rFonts w:hint="eastAsia" w:ascii="宋体" w:hAnsi="宋体"/>
          <w:sz w:val="18"/>
          <w:szCs w:val="18"/>
        </w:rPr>
        <w:t>2.“研究生海外交流数”指赴国（境）外学习、实习的学生数。学生赴国（境）外学习、实习指依据相关协议，本校学生到国（境）外学习、实习（一般应在3个月及以上时间）的经历；</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3.“体育赛事、创作设计获奖数”“策划、举办或参加的重要展演、赛事活动数”限体育、艺术类学科填写，年度量化指标填写建设期3年预期合计数量。</w:t>
      </w:r>
    </w:p>
    <w:tbl>
      <w:tblPr>
        <w:tblStyle w:val="5"/>
        <w:tblpPr w:leftFromText="180" w:rightFromText="180" w:vertAnchor="text" w:horzAnchor="margin" w:tblpY="102"/>
        <w:tblW w:w="8936" w:type="dxa"/>
        <w:tblInd w:w="0" w:type="dxa"/>
        <w:tblLayout w:type="fixed"/>
        <w:tblCellMar>
          <w:top w:w="0" w:type="dxa"/>
          <w:left w:w="0" w:type="dxa"/>
          <w:bottom w:w="0" w:type="dxa"/>
          <w:right w:w="0" w:type="dxa"/>
        </w:tblCellMar>
      </w:tblPr>
      <w:tblGrid>
        <w:gridCol w:w="2132"/>
        <w:gridCol w:w="1275"/>
        <w:gridCol w:w="1276"/>
        <w:gridCol w:w="1276"/>
        <w:gridCol w:w="1559"/>
        <w:gridCol w:w="1418"/>
      </w:tblGrid>
      <w:tr>
        <w:tblPrEx>
          <w:tblCellMar>
            <w:top w:w="0" w:type="dxa"/>
            <w:left w:w="0" w:type="dxa"/>
            <w:bottom w:w="0" w:type="dxa"/>
            <w:right w:w="0" w:type="dxa"/>
          </w:tblCellMar>
        </w:tblPrEx>
        <w:trPr>
          <w:trHeight w:val="454" w:hRule="atLeast"/>
        </w:trPr>
        <w:tc>
          <w:tcPr>
            <w:tcW w:w="89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w:t>
            </w:r>
            <w:r>
              <w:rPr>
                <w:rFonts w:hint="eastAsia" w:eastAsia="黑体"/>
                <w:b/>
                <w:bCs/>
                <w:color w:val="000000"/>
                <w:kern w:val="0"/>
                <w:szCs w:val="21"/>
              </w:rPr>
              <w:t xml:space="preserve">4 </w:t>
            </w:r>
            <w:r>
              <w:rPr>
                <w:rFonts w:hint="eastAsia" w:ascii="仿宋_GB2312" w:eastAsia="仿宋_GB2312" w:cs="仿宋_GB2312"/>
                <w:color w:val="000000"/>
                <w:kern w:val="0"/>
                <w:szCs w:val="21"/>
              </w:rPr>
              <w:t>条件建设</w:t>
            </w:r>
          </w:p>
        </w:tc>
      </w:tr>
      <w:tr>
        <w:tblPrEx>
          <w:tblCellMar>
            <w:top w:w="0" w:type="dxa"/>
            <w:left w:w="0" w:type="dxa"/>
            <w:bottom w:w="0" w:type="dxa"/>
            <w:right w:w="0" w:type="dxa"/>
          </w:tblCellMar>
        </w:tblPrEx>
        <w:trPr>
          <w:trHeight w:val="160" w:hRule="atLeast"/>
        </w:trPr>
        <w:tc>
          <w:tcPr>
            <w:tcW w:w="2132" w:type="dxa"/>
            <w:vMerge w:val="restart"/>
            <w:tcBorders>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382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年度量化指标</w:t>
            </w:r>
          </w:p>
        </w:tc>
        <w:tc>
          <w:tcPr>
            <w:tcW w:w="1559"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r>
              <w:rPr>
                <w:rFonts w:ascii="仿宋_GB2312" w:eastAsia="仿宋_GB2312"/>
                <w:bCs/>
              </w:rPr>
              <w:t>完成情况</w:t>
            </w:r>
          </w:p>
          <w:p>
            <w:pPr>
              <w:autoSpaceDE w:val="0"/>
              <w:autoSpaceDN w:val="0"/>
              <w:adjustRightInd w:val="0"/>
              <w:snapToGrid w:val="0"/>
              <w:jc w:val="center"/>
              <w:rPr>
                <w:rFonts w:hint="eastAsia" w:ascii="仿宋_GB2312" w:eastAsia="仿宋_GB2312"/>
                <w:bCs/>
              </w:rPr>
            </w:pPr>
            <w:r>
              <w:rPr>
                <w:rFonts w:hint="eastAsia" w:ascii="仿宋_GB2312" w:eastAsia="仿宋_GB2312"/>
                <w:bCs/>
              </w:rPr>
              <w:t>（统计方式）</w:t>
            </w:r>
          </w:p>
        </w:tc>
        <w:tc>
          <w:tcPr>
            <w:tcW w:w="1418" w:type="dxa"/>
            <w:vMerge w:val="restart"/>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目标达成度</w:t>
            </w:r>
          </w:p>
        </w:tc>
      </w:tr>
      <w:tr>
        <w:tblPrEx>
          <w:tblCellMar>
            <w:top w:w="0" w:type="dxa"/>
            <w:left w:w="0" w:type="dxa"/>
            <w:bottom w:w="0" w:type="dxa"/>
            <w:right w:w="0" w:type="dxa"/>
          </w:tblCellMar>
        </w:tblPrEx>
        <w:trPr>
          <w:trHeight w:val="165" w:hRule="atLeast"/>
        </w:trPr>
        <w:tc>
          <w:tcPr>
            <w:tcW w:w="2132"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5"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2018</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2019</w:t>
            </w:r>
          </w:p>
        </w:tc>
        <w:tc>
          <w:tcPr>
            <w:tcW w:w="1276" w:type="dxa"/>
            <w:tcBorders>
              <w:top w:val="single" w:color="auto"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2020</w:t>
            </w:r>
          </w:p>
        </w:tc>
        <w:tc>
          <w:tcPr>
            <w:tcW w:w="1559"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ascii="仿宋_GB2312" w:eastAsia="仿宋_GB2312"/>
                <w:bCs/>
              </w:rPr>
            </w:pPr>
          </w:p>
        </w:tc>
        <w:tc>
          <w:tcPr>
            <w:tcW w:w="1418" w:type="dxa"/>
            <w:vMerge w:val="continue"/>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511" w:hRule="atLeast"/>
        </w:trPr>
        <w:tc>
          <w:tcPr>
            <w:tcW w:w="2132"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国家级平台数</w:t>
            </w:r>
          </w:p>
        </w:tc>
        <w:tc>
          <w:tcPr>
            <w:tcW w:w="1275"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right w:val="single" w:color="000000" w:sz="4" w:space="0"/>
            </w:tcBorders>
            <w:shd w:val="clear" w:color="auto" w:fill="FFFFFF"/>
            <w:vAlign w:val="center"/>
          </w:tcPr>
          <w:p>
            <w:pPr>
              <w:jc w:val="right"/>
              <w:rPr>
                <w:rFonts w:hint="eastAsia"/>
              </w:rPr>
            </w:pPr>
            <w:r>
              <w:rPr>
                <w:rFonts w:hint="eastAsia" w:ascii="仿宋_GB2312" w:eastAsia="仿宋_GB2312"/>
                <w:bCs/>
              </w:rPr>
              <w:t>（自然年）</w:t>
            </w:r>
          </w:p>
        </w:tc>
        <w:tc>
          <w:tcPr>
            <w:tcW w:w="1418" w:type="dxa"/>
            <w:tcBorders>
              <w:top w:val="single" w:color="000000" w:sz="4" w:space="0"/>
              <w:left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其他部委平台数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教育部平台数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省级平台数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pPr>
            <w:r>
              <w:rPr>
                <w:rFonts w:hint="eastAsia" w:ascii="仿宋_GB2312" w:eastAsia="仿宋_GB2312"/>
                <w:bCs/>
              </w:rPr>
              <w:t>（自然年）</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仪器设备总值</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50万元以上设备数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专业图书数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电子图书数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专业期刊数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电子期刊数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专业数据库</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right"/>
              <w:rPr>
                <w:rFonts w:hint="eastAsia" w:ascii="仿宋_GB2312" w:eastAsia="仿宋_GB2312"/>
                <w:bCs/>
              </w:rPr>
            </w:pPr>
            <w:r>
              <w:rPr>
                <w:rFonts w:hint="eastAsia" w:ascii="仿宋_GB2312" w:eastAsia="仿宋_GB2312"/>
                <w:bCs/>
              </w:rPr>
              <w:t>（时点数）</w:t>
            </w:r>
          </w:p>
        </w:tc>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p>
        </w:tc>
      </w:tr>
      <w:tr>
        <w:tblPrEx>
          <w:tblCellMar>
            <w:top w:w="0" w:type="dxa"/>
            <w:left w:w="0" w:type="dxa"/>
            <w:bottom w:w="0" w:type="dxa"/>
            <w:right w:w="0" w:type="dxa"/>
          </w:tblCellMar>
        </w:tblPrEx>
        <w:trPr>
          <w:trHeight w:val="653" w:hRule="atLeast"/>
        </w:trPr>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其他重要标志性成果指标完成情况</w:t>
            </w:r>
          </w:p>
        </w:tc>
        <w:tc>
          <w:tcPr>
            <w:tcW w:w="68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bCs/>
              </w:rPr>
            </w:pPr>
          </w:p>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hint="eastAsia" w:ascii="宋体" w:hAnsi="宋体" w:cs="宋体"/>
          <w:bCs/>
          <w:sz w:val="18"/>
          <w:szCs w:val="18"/>
        </w:rPr>
      </w:pPr>
      <w:r>
        <w:rPr>
          <w:rFonts w:hint="eastAsia" w:ascii="宋体" w:hAnsi="宋体" w:cs="宋体"/>
          <w:bCs/>
          <w:sz w:val="18"/>
          <w:szCs w:val="18"/>
        </w:rPr>
        <w:t>注：</w:t>
      </w:r>
      <w:r>
        <w:rPr>
          <w:rFonts w:ascii="宋体" w:hAnsi="宋体" w:cs="宋体"/>
          <w:bCs/>
          <w:sz w:val="18"/>
          <w:szCs w:val="18"/>
        </w:rPr>
        <w:t>1.</w:t>
      </w:r>
      <w:r>
        <w:rPr>
          <w:rFonts w:hint="eastAsia" w:ascii="宋体" w:hAnsi="宋体" w:cs="宋体"/>
          <w:bCs/>
          <w:sz w:val="18"/>
          <w:szCs w:val="18"/>
        </w:rPr>
        <w:t>“</w:t>
      </w:r>
      <w:r>
        <w:rPr>
          <w:rFonts w:ascii="宋体" w:hAnsi="宋体" w:cs="宋体"/>
          <w:bCs/>
          <w:sz w:val="18"/>
          <w:szCs w:val="18"/>
        </w:rPr>
        <w:t>国家级平台数</w:t>
      </w:r>
      <w:r>
        <w:rPr>
          <w:rFonts w:hint="eastAsia" w:ascii="宋体" w:hAnsi="宋体" w:cs="宋体"/>
          <w:bCs/>
          <w:sz w:val="18"/>
          <w:szCs w:val="18"/>
        </w:rPr>
        <w:t>”填写立项建设申报书中“国家实验室”“国家重点实验室”合计数。指国家实验室、国家重大科技基础设施、国家重点实验室、国家工程技术研究中心、国家工程研究中心、国家工程实验室、国家实验教学示范中心、国防科技重点实验室、省部共建国家重点实验室、国家野外科学观测研究站、国家国际科技合作基地、高等学校创新能力提升计划（简称“2011 计划”）、高等学校学科创新引智计划（简称“111 计划”）、国家高端智库同一实验室、基地、中心有多重冠名的只填写一次；</w:t>
      </w:r>
    </w:p>
    <w:p>
      <w:pPr>
        <w:adjustRightInd w:val="0"/>
        <w:snapToGrid w:val="0"/>
        <w:spacing w:line="360" w:lineRule="exact"/>
        <w:ind w:firstLine="360" w:firstLineChars="200"/>
        <w:rPr>
          <w:rFonts w:hint="eastAsia" w:ascii="宋体" w:hAnsi="宋体" w:cs="宋体"/>
          <w:bCs/>
          <w:sz w:val="18"/>
          <w:szCs w:val="18"/>
        </w:rPr>
      </w:pPr>
      <w:r>
        <w:rPr>
          <w:rFonts w:hint="eastAsia" w:ascii="宋体" w:hAnsi="宋体" w:cs="宋体"/>
          <w:bCs/>
          <w:sz w:val="18"/>
          <w:szCs w:val="18"/>
        </w:rPr>
        <w:t>2.“其他部委平台数” 填写立项建设申报书中“其他国家研究基地”数据。指国家发改委、国家科技部、国防科工局等国家部委批准的其他冠名国家的实验室、工程中心、基地等；</w:t>
      </w:r>
    </w:p>
    <w:p>
      <w:pPr>
        <w:adjustRightInd w:val="0"/>
        <w:snapToGrid w:val="0"/>
        <w:spacing w:line="360" w:lineRule="exact"/>
        <w:ind w:firstLine="360" w:firstLineChars="200"/>
        <w:rPr>
          <w:rFonts w:ascii="宋体" w:hAnsi="宋体" w:cs="宋体"/>
          <w:bCs/>
          <w:sz w:val="18"/>
          <w:szCs w:val="18"/>
        </w:rPr>
      </w:pPr>
      <w:r>
        <w:rPr>
          <w:rFonts w:hint="eastAsia" w:ascii="宋体" w:hAnsi="宋体" w:cs="宋体"/>
          <w:bCs/>
          <w:sz w:val="18"/>
          <w:szCs w:val="18"/>
        </w:rPr>
        <w:t>3.“教育部平台数”填写立项建设申报书中“教育部研究基地”数据。指教育部重点实验室、教育部工程研究中心、省部共建协同创新中心、教育部国际合作联合实验室、教育部野外科学观测研究站、教育部高等学校人文社会科学重点研究基地；</w:t>
      </w:r>
    </w:p>
    <w:p>
      <w:pPr>
        <w:adjustRightInd w:val="0"/>
        <w:snapToGrid w:val="0"/>
        <w:spacing w:line="360" w:lineRule="exact"/>
        <w:ind w:firstLine="360" w:firstLineChars="200"/>
        <w:rPr>
          <w:rFonts w:ascii="宋体" w:hAnsi="宋体" w:cs="宋体"/>
          <w:bCs/>
          <w:sz w:val="18"/>
          <w:szCs w:val="18"/>
        </w:rPr>
      </w:pPr>
      <w:r>
        <w:rPr>
          <w:rFonts w:ascii="宋体" w:hAnsi="宋体" w:cs="宋体"/>
          <w:bCs/>
          <w:sz w:val="18"/>
          <w:szCs w:val="18"/>
        </w:rPr>
        <w:t>4.</w:t>
      </w:r>
      <w:r>
        <w:rPr>
          <w:rFonts w:hint="eastAsia" w:ascii="宋体" w:hAnsi="宋体" w:cs="宋体"/>
          <w:bCs/>
          <w:sz w:val="18"/>
          <w:szCs w:val="18"/>
        </w:rPr>
        <w:t>“省级平台数”填写立项建设申报书中“省级研究基地”数据。指省发改委、科技厅、教育厅等部门批准的，开展教学、科研和实验的各类平台数。</w:t>
      </w:r>
    </w:p>
    <w:p>
      <w:pPr>
        <w:autoSpaceDE w:val="0"/>
        <w:autoSpaceDN w:val="0"/>
        <w:adjustRightInd w:val="0"/>
        <w:snapToGrid w:val="0"/>
        <w:jc w:val="left"/>
        <w:rPr>
          <w:rFonts w:ascii="宋体" w:hAnsi="宋体" w:cs="宋体"/>
          <w:bCs/>
          <w:sz w:val="18"/>
          <w:szCs w:val="18"/>
        </w:rPr>
      </w:pPr>
    </w:p>
    <w:p>
      <w:pPr>
        <w:autoSpaceDE w:val="0"/>
        <w:autoSpaceDN w:val="0"/>
        <w:adjustRightInd w:val="0"/>
        <w:snapToGrid w:val="0"/>
        <w:jc w:val="left"/>
        <w:rPr>
          <w:rFonts w:hint="eastAsia" w:ascii="仿宋_GB2312" w:eastAsia="仿宋_GB2312"/>
          <w:b/>
        </w:rPr>
        <w:sectPr>
          <w:footerReference r:id="rId7" w:type="default"/>
          <w:pgSz w:w="11906" w:h="16838"/>
          <w:pgMar w:top="1418" w:right="1418" w:bottom="1418" w:left="1418" w:header="851" w:footer="737" w:gutter="57"/>
          <w:pgNumType w:fmt="numberInDash"/>
          <w:cols w:space="720" w:num="1"/>
          <w:docGrid w:type="linesAndChars" w:linePitch="312" w:charSpace="0"/>
        </w:sectPr>
      </w:pPr>
    </w:p>
    <w:tbl>
      <w:tblPr>
        <w:tblStyle w:val="5"/>
        <w:tblpPr w:leftFromText="180" w:rightFromText="180" w:vertAnchor="text" w:horzAnchor="margin" w:tblpY="96"/>
        <w:tblW w:w="9077" w:type="dxa"/>
        <w:tblInd w:w="0" w:type="dxa"/>
        <w:tblLayout w:type="fixed"/>
        <w:tblCellMar>
          <w:top w:w="0" w:type="dxa"/>
          <w:left w:w="0" w:type="dxa"/>
          <w:bottom w:w="0" w:type="dxa"/>
          <w:right w:w="0" w:type="dxa"/>
        </w:tblCellMar>
      </w:tblPr>
      <w:tblGrid>
        <w:gridCol w:w="856"/>
        <w:gridCol w:w="2551"/>
        <w:gridCol w:w="5670"/>
      </w:tblGrid>
      <w:tr>
        <w:tblPrEx>
          <w:tblCellMar>
            <w:top w:w="0" w:type="dxa"/>
            <w:left w:w="0" w:type="dxa"/>
            <w:bottom w:w="0" w:type="dxa"/>
            <w:right w:w="0" w:type="dxa"/>
          </w:tblCellMar>
        </w:tblPrEx>
        <w:trPr>
          <w:trHeight w:val="510" w:hRule="atLeast"/>
        </w:trPr>
        <w:tc>
          <w:tcPr>
            <w:tcW w:w="9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仿宋_GB2312" w:eastAsia="仿宋_GB2312" w:cs="仿宋_GB2312"/>
                <w:color w:val="000000"/>
                <w:kern w:val="0"/>
                <w:szCs w:val="21"/>
              </w:rPr>
            </w:pPr>
            <w:r>
              <w:rPr>
                <w:rFonts w:hint="eastAsia" w:ascii="仿宋_GB2312" w:eastAsia="仿宋_GB2312"/>
                <w:b/>
              </w:rPr>
              <w:fldChar w:fldCharType="begin"/>
            </w:r>
            <w:r>
              <w:rPr>
                <w:rFonts w:hint="eastAsia" w:ascii="仿宋_GB2312" w:eastAsia="仿宋_GB2312"/>
                <w:b/>
              </w:rPr>
              <w:instrText xml:space="preserve"> = 2 \* ROMAN \* MERGEFORMAT </w:instrText>
            </w:r>
            <w:r>
              <w:rPr>
                <w:rFonts w:hint="eastAsia" w:ascii="仿宋_GB2312" w:eastAsia="仿宋_GB2312"/>
                <w:b/>
              </w:rPr>
              <w:fldChar w:fldCharType="separate"/>
            </w:r>
            <w:r>
              <w:t>II</w:t>
            </w:r>
            <w:r>
              <w:rPr>
                <w:rFonts w:hint="eastAsia" w:ascii="仿宋_GB2312" w:eastAsia="仿宋_GB2312"/>
                <w:b/>
              </w:rPr>
              <w:fldChar w:fldCharType="end"/>
            </w:r>
            <w:r>
              <w:rPr>
                <w:rFonts w:eastAsia="黑体"/>
                <w:b/>
                <w:bCs/>
                <w:color w:val="000000"/>
                <w:kern w:val="0"/>
                <w:szCs w:val="21"/>
              </w:rPr>
              <w:t>-</w:t>
            </w:r>
            <w:r>
              <w:rPr>
                <w:rFonts w:hint="eastAsia" w:eastAsia="黑体"/>
                <w:b/>
                <w:bCs/>
                <w:color w:val="000000"/>
                <w:kern w:val="0"/>
                <w:szCs w:val="21"/>
              </w:rPr>
              <w:t xml:space="preserve">5 </w:t>
            </w:r>
            <w:r>
              <w:rPr>
                <w:rFonts w:hint="eastAsia" w:ascii="仿宋_GB2312" w:eastAsia="仿宋_GB2312" w:cs="仿宋_GB2312"/>
                <w:color w:val="000000"/>
                <w:kern w:val="0"/>
                <w:szCs w:val="21"/>
              </w:rPr>
              <w:t>其他标志性成果</w:t>
            </w:r>
          </w:p>
        </w:tc>
      </w:tr>
      <w:tr>
        <w:tblPrEx>
          <w:tblCellMar>
            <w:top w:w="0" w:type="dxa"/>
            <w:left w:w="0" w:type="dxa"/>
            <w:bottom w:w="0" w:type="dxa"/>
            <w:right w:w="0" w:type="dxa"/>
          </w:tblCellMar>
        </w:tblPrEx>
        <w:trPr>
          <w:trHeight w:val="340" w:hRule="atLeast"/>
        </w:trPr>
        <w:tc>
          <w:tcPr>
            <w:tcW w:w="856" w:type="dxa"/>
            <w:tcBorders>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项目</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具体内容</w:t>
            </w: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hint="eastAsia" w:ascii="仿宋_GB2312" w:eastAsia="仿宋_GB2312"/>
                <w:bCs/>
              </w:rPr>
              <w:t>ESI全球排名前1%情况</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Fonts w:hint="eastAsia" w:ascii="仿宋_GB2312" w:eastAsia="仿宋_GB2312"/>
                <w:bCs/>
              </w:rPr>
            </w:pPr>
            <w:r>
              <w:rPr>
                <w:rFonts w:hint="eastAsia" w:ascii="仿宋_GB2312" w:eastAsia="仿宋_GB2312"/>
                <w:bCs/>
              </w:rPr>
              <w:t>第三方社会评价排名情况</w:t>
            </w:r>
            <w:r>
              <w:rPr>
                <w:rFonts w:hint="eastAsia" w:ascii="仿宋_GB2312" w:eastAsia="仿宋_GB2312"/>
                <w:bCs/>
                <w:vertAlign w:val="superscript"/>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hint="eastAsia" w:ascii="仿宋_GB2312" w:eastAsia="仿宋_GB2312"/>
                <w:bCs/>
              </w:rPr>
              <w:t>国家级一流专业</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hint="eastAsia" w:ascii="仿宋_GB2312" w:eastAsia="仿宋_GB2312"/>
                <w:bCs/>
              </w:rPr>
              <w:t>思政教育成效（荣誉获奖数）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hint="eastAsia" w:ascii="仿宋_GB2312" w:eastAsia="仿宋_GB2312"/>
                <w:bCs/>
              </w:rPr>
              <w:t>师德师风成效（荣誉获奖数）</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ascii="微软雅黑" w:hAnsi="微软雅黑" w:eastAsia="微软雅黑" w:cs="宋体"/>
                <w:kern w:val="0"/>
                <w:sz w:val="22"/>
                <w:szCs w:val="22"/>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r>
              <w:rPr>
                <w:rFonts w:ascii="微软雅黑" w:hAnsi="微软雅黑" w:eastAsia="微软雅黑" w:cs="宋体"/>
                <w:kern w:val="0"/>
                <w:sz w:val="22"/>
                <w:szCs w:val="22"/>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r>
              <w:rPr>
                <w:rFonts w:ascii="微软雅黑" w:hAnsi="微软雅黑" w:eastAsia="微软雅黑" w:cs="宋体"/>
                <w:kern w:val="0"/>
                <w:sz w:val="22"/>
                <w:szCs w:val="22"/>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9</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r>
              <w:rPr>
                <w:rFonts w:ascii="微软雅黑" w:hAnsi="微软雅黑" w:eastAsia="微软雅黑" w:cs="宋体"/>
                <w:kern w:val="0"/>
                <w:sz w:val="22"/>
                <w:szCs w:val="22"/>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r>
        <w:tblPrEx>
          <w:tblCellMar>
            <w:top w:w="0" w:type="dxa"/>
            <w:left w:w="0" w:type="dxa"/>
            <w:bottom w:w="0" w:type="dxa"/>
            <w:right w:w="0" w:type="dxa"/>
          </w:tblCellMar>
        </w:tblPrEx>
        <w:trPr>
          <w:trHeight w:val="454"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center"/>
              <w:rPr>
                <w:rFonts w:hint="eastAsia" w:ascii="仿宋_GB2312" w:eastAsia="仿宋_GB2312"/>
                <w:bCs/>
              </w:rPr>
            </w:pPr>
            <w:r>
              <w:rPr>
                <w:rFonts w:hint="eastAsia" w:ascii="仿宋_GB2312" w:eastAsia="仿宋_GB2312"/>
                <w:bCs/>
              </w:rPr>
              <w:t>10</w:t>
            </w:r>
          </w:p>
        </w:tc>
        <w:tc>
          <w:tcPr>
            <w:tcW w:w="2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ascii="微软雅黑" w:hAnsi="微软雅黑" w:eastAsia="微软雅黑" w:cs="宋体"/>
                <w:kern w:val="0"/>
                <w:sz w:val="22"/>
                <w:szCs w:val="22"/>
              </w:rPr>
            </w:pPr>
            <w:r>
              <w:rPr>
                <w:rFonts w:ascii="微软雅黑" w:hAnsi="微软雅黑" w:eastAsia="微软雅黑" w:cs="宋体"/>
                <w:kern w:val="0"/>
                <w:sz w:val="22"/>
                <w:szCs w:val="22"/>
              </w:rPr>
              <w:t>…</w:t>
            </w:r>
          </w:p>
        </w:tc>
        <w:tc>
          <w:tcPr>
            <w:tcW w:w="5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jc w:val="left"/>
              <w:rPr>
                <w:rFonts w:hint="eastAsia" w:ascii="仿宋_GB2312" w:eastAsia="仿宋_GB2312"/>
                <w:bCs/>
              </w:rPr>
            </w:pPr>
          </w:p>
        </w:tc>
      </w:tr>
    </w:tbl>
    <w:p>
      <w:pPr>
        <w:adjustRightInd w:val="0"/>
        <w:snapToGrid w:val="0"/>
        <w:spacing w:line="360" w:lineRule="exact"/>
        <w:rPr>
          <w:rFonts w:ascii="宋体" w:hAnsi="宋体"/>
          <w:sz w:val="18"/>
          <w:szCs w:val="18"/>
        </w:rPr>
      </w:pPr>
      <w:r>
        <w:rPr>
          <w:rFonts w:hint="eastAsia" w:ascii="宋体" w:hAnsi="宋体"/>
          <w:sz w:val="18"/>
          <w:szCs w:val="18"/>
        </w:rPr>
        <w:t>注：1.除以上指定项目外由学校根据实际情况具体设计，填写立项以来建设期内获得的标志性成果，限填10项；</w:t>
      </w:r>
    </w:p>
    <w:p>
      <w:pPr>
        <w:adjustRightInd w:val="0"/>
        <w:snapToGrid w:val="0"/>
        <w:spacing w:line="360" w:lineRule="exact"/>
        <w:ind w:firstLine="360" w:firstLineChars="200"/>
        <w:rPr>
          <w:rFonts w:eastAsia="仿宋_GB2312"/>
          <w:sz w:val="28"/>
          <w:szCs w:val="28"/>
        </w:rPr>
      </w:pPr>
      <w:r>
        <w:rPr>
          <w:rFonts w:ascii="宋体" w:hAnsi="宋体"/>
          <w:sz w:val="18"/>
          <w:szCs w:val="18"/>
        </w:rPr>
        <w:t>2.</w:t>
      </w:r>
      <w:r>
        <w:rPr>
          <w:rFonts w:hint="eastAsia" w:ascii="宋体" w:hAnsi="宋体"/>
          <w:sz w:val="18"/>
          <w:szCs w:val="18"/>
        </w:rPr>
        <w:t>“排名情况”学校可在“艾瑞深中国校友会网《中国大学评价研究报告》”“武汉大学中国研究生教育高校竞争力排行榜”“武书连中国大学排行榜”等第三方社会评价中，选取填写本学科排名情况。填报后需注明选取的第三方机构名称；</w:t>
      </w:r>
    </w:p>
    <w:p>
      <w:pPr>
        <w:adjustRightInd w:val="0"/>
        <w:snapToGrid w:val="0"/>
        <w:spacing w:line="360" w:lineRule="exact"/>
        <w:ind w:firstLine="360" w:firstLineChars="200"/>
        <w:rPr>
          <w:rFonts w:hint="eastAsia" w:ascii="宋体" w:hAnsi="宋体"/>
          <w:sz w:val="18"/>
          <w:szCs w:val="18"/>
        </w:rPr>
      </w:pPr>
      <w:r>
        <w:rPr>
          <w:rFonts w:hint="eastAsia" w:ascii="宋体" w:hAnsi="宋体"/>
          <w:sz w:val="18"/>
          <w:szCs w:val="18"/>
        </w:rPr>
        <w:t>3.“思政教育成效”、“师德师风成效”中荣誉获奖数根据第五轮学科评估填报具体内容核算。</w:t>
      </w:r>
    </w:p>
    <w:sectPr>
      <w:pgSz w:w="11906" w:h="16838"/>
      <w:pgMar w:top="2098" w:right="1508" w:bottom="1713" w:left="1520" w:header="851" w:footer="1418" w:gutter="57"/>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lang w:val="en-US" w:eastAsia="zh-CN"/>
      </w:rPr>
      <w:t>1</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15pt;mso-position-horizontal:center;mso-position-horizontal-relative:margin;mso-wrap-style:none;z-index:251658240;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qRS7NAA&#10;AAADAQAADwAAAAAAAAABACAAAAAiAAAAZHJzL2Rvd25yZXYueG1sUEsBAhQAFAAAAAgAh07iQHvK&#10;l4/uAQAAtAMAAA4AAAAAAAAAAQAgAAAAHwEAAGRycy9lMm9Eb2MueG1sUEsFBgAAAAAGAAYAWQEA&#10;AH8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- 1 -</w:t>
                    </w:r>
                    <w:r>
                      <w:rPr>
                        <w:rFonts w:hint="eastAsia"/>
                      </w:rPr>
                      <w:fldChar w:fldCharType="end"/>
                    </w:r>
                  </w:p>
                </w:txbxContent>
              </v:textbox>
            </v:shape>
          </w:pict>
        </mc:Fallback>
      </mc:AlternateConten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4"/>
        <w:szCs w:val="24"/>
      </w:rPr>
    </w:pPr>
    <w:r>
      <w:rPr>
        <w:sz w:val="24"/>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381635" cy="19748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3"/>
                            <w:jc w:val="right"/>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eastAsia="zh-CN"/>
                            </w:rPr>
                            <w:t>-</w:t>
                          </w:r>
                          <w:r>
                            <w:rPr>
                              <w:rFonts w:ascii="仿宋_GB2312" w:eastAsia="仿宋_GB2312"/>
                              <w:sz w:val="24"/>
                              <w:szCs w:val="24"/>
                              <w:lang w:val="en-US" w:eastAsia="zh-CN"/>
                            </w:rPr>
                            <w:t xml:space="preserve"> 7 -</w:t>
                          </w:r>
                          <w:r>
                            <w:rPr>
                              <w:rFonts w:hint="eastAsia" w:ascii="仿宋_GB2312" w:eastAsia="仿宋_GB2312"/>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5.55pt;width:30.05pt;mso-position-horizontal:center;mso-position-horizontal-relative:margin;mso-wrap-style:none;z-index:251657216;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t9bR&#10;0QAAAAMBAAAPAAAAAAAAAAEAIAAAACIAAABkcnMvZG93bnJldi54bWxQSwECFAAUAAAACACHTuJA&#10;MStfXO8BAAC0AwAADgAAAAAAAAABACAAAAAgAQAAZHJzL2Uyb0RvYy54bWxQSwUGAAAAAAYABgBZ&#10;AQAAgQUAAAAA&#10;">
              <v:fill on="f" focussize="0,0"/>
              <v:stroke on="f"/>
              <v:imagedata o:title=""/>
              <o:lock v:ext="edit" aspectratio="f"/>
              <v:textbox inset="0mm,0mm,0mm,0mm" style="mso-fit-shape-to-text:t;">
                <w:txbxContent>
                  <w:p>
                    <w:pPr>
                      <w:pStyle w:val="3"/>
                      <w:jc w:val="right"/>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ascii="仿宋_GB2312" w:eastAsia="仿宋_GB2312"/>
                        <w:sz w:val="24"/>
                        <w:szCs w:val="24"/>
                        <w:lang w:val="zh-CN" w:eastAsia="zh-CN"/>
                      </w:rPr>
                      <w:t>-</w:t>
                    </w:r>
                    <w:r>
                      <w:rPr>
                        <w:rFonts w:ascii="仿宋_GB2312" w:eastAsia="仿宋_GB2312"/>
                        <w:sz w:val="24"/>
                        <w:szCs w:val="24"/>
                        <w:lang w:val="en-US" w:eastAsia="zh-CN"/>
                      </w:rPr>
                      <w:t xml:space="preserve"> 7 -</w:t>
                    </w:r>
                    <w:r>
                      <w:rPr>
                        <w:rFonts w:hint="eastAsia" w:ascii="仿宋_GB2312" w:eastAsia="仿宋_GB2312"/>
                        <w:sz w:val="24"/>
                        <w:szCs w:val="24"/>
                      </w:rPr>
                      <w:fldChar w:fldCharType="end"/>
                    </w:r>
                  </w:p>
                </w:txbxContent>
              </v:textbox>
            </v:shape>
          </w:pict>
        </mc:Fallback>
      </mc:AlternateConten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E5"/>
    <w:rsid w:val="00001A72"/>
    <w:rsid w:val="00014264"/>
    <w:rsid w:val="00027AE9"/>
    <w:rsid w:val="00045783"/>
    <w:rsid w:val="00082EC4"/>
    <w:rsid w:val="00095E3D"/>
    <w:rsid w:val="000A5A08"/>
    <w:rsid w:val="000C386E"/>
    <w:rsid w:val="000D0CCD"/>
    <w:rsid w:val="00135CD6"/>
    <w:rsid w:val="00160FF9"/>
    <w:rsid w:val="00183CC2"/>
    <w:rsid w:val="001855FF"/>
    <w:rsid w:val="001B2AE5"/>
    <w:rsid w:val="001B2E18"/>
    <w:rsid w:val="001B4D2A"/>
    <w:rsid w:val="001C51B0"/>
    <w:rsid w:val="001E226C"/>
    <w:rsid w:val="001F20FE"/>
    <w:rsid w:val="002351F6"/>
    <w:rsid w:val="002353DA"/>
    <w:rsid w:val="00251456"/>
    <w:rsid w:val="00251BDC"/>
    <w:rsid w:val="00270C2F"/>
    <w:rsid w:val="00271B7E"/>
    <w:rsid w:val="00275004"/>
    <w:rsid w:val="00277941"/>
    <w:rsid w:val="00280547"/>
    <w:rsid w:val="0028156A"/>
    <w:rsid w:val="002846CD"/>
    <w:rsid w:val="002A3F9F"/>
    <w:rsid w:val="002B125A"/>
    <w:rsid w:val="002B7EAD"/>
    <w:rsid w:val="002C23FD"/>
    <w:rsid w:val="002D12E6"/>
    <w:rsid w:val="002F34EC"/>
    <w:rsid w:val="00303503"/>
    <w:rsid w:val="00305521"/>
    <w:rsid w:val="003148F4"/>
    <w:rsid w:val="0031796E"/>
    <w:rsid w:val="00327ABC"/>
    <w:rsid w:val="00384DAD"/>
    <w:rsid w:val="003B5C97"/>
    <w:rsid w:val="003D0CE2"/>
    <w:rsid w:val="004401CB"/>
    <w:rsid w:val="004407A4"/>
    <w:rsid w:val="00462980"/>
    <w:rsid w:val="0046503E"/>
    <w:rsid w:val="004779D8"/>
    <w:rsid w:val="00485E59"/>
    <w:rsid w:val="00490303"/>
    <w:rsid w:val="004922F8"/>
    <w:rsid w:val="00493EE6"/>
    <w:rsid w:val="004B0819"/>
    <w:rsid w:val="004B3588"/>
    <w:rsid w:val="004C780A"/>
    <w:rsid w:val="004D6037"/>
    <w:rsid w:val="0051132C"/>
    <w:rsid w:val="0051161F"/>
    <w:rsid w:val="005169AD"/>
    <w:rsid w:val="005173F0"/>
    <w:rsid w:val="00541AAD"/>
    <w:rsid w:val="005427BE"/>
    <w:rsid w:val="00542DF8"/>
    <w:rsid w:val="005603D2"/>
    <w:rsid w:val="005677EA"/>
    <w:rsid w:val="0057779D"/>
    <w:rsid w:val="00591555"/>
    <w:rsid w:val="00593C2B"/>
    <w:rsid w:val="005A3F13"/>
    <w:rsid w:val="005A6342"/>
    <w:rsid w:val="005B5558"/>
    <w:rsid w:val="005B6F13"/>
    <w:rsid w:val="005C7A2D"/>
    <w:rsid w:val="005D50FC"/>
    <w:rsid w:val="005E2345"/>
    <w:rsid w:val="005F35D6"/>
    <w:rsid w:val="00630801"/>
    <w:rsid w:val="00640C50"/>
    <w:rsid w:val="006430E5"/>
    <w:rsid w:val="00646B63"/>
    <w:rsid w:val="00646DA3"/>
    <w:rsid w:val="00653650"/>
    <w:rsid w:val="006742F0"/>
    <w:rsid w:val="0068006B"/>
    <w:rsid w:val="006C2D35"/>
    <w:rsid w:val="006F33FC"/>
    <w:rsid w:val="0071089F"/>
    <w:rsid w:val="007278A9"/>
    <w:rsid w:val="0073654B"/>
    <w:rsid w:val="00760614"/>
    <w:rsid w:val="007624B1"/>
    <w:rsid w:val="007668D3"/>
    <w:rsid w:val="0077437D"/>
    <w:rsid w:val="00785E23"/>
    <w:rsid w:val="007E685D"/>
    <w:rsid w:val="0082587B"/>
    <w:rsid w:val="008374EF"/>
    <w:rsid w:val="0084337C"/>
    <w:rsid w:val="00865D51"/>
    <w:rsid w:val="008706CE"/>
    <w:rsid w:val="00890D45"/>
    <w:rsid w:val="0089385C"/>
    <w:rsid w:val="008B5690"/>
    <w:rsid w:val="008E25E0"/>
    <w:rsid w:val="0090459B"/>
    <w:rsid w:val="00910FBA"/>
    <w:rsid w:val="009273D4"/>
    <w:rsid w:val="009572C0"/>
    <w:rsid w:val="00982BD5"/>
    <w:rsid w:val="00986117"/>
    <w:rsid w:val="009A24A9"/>
    <w:rsid w:val="009A6E14"/>
    <w:rsid w:val="009B4AB6"/>
    <w:rsid w:val="009D3898"/>
    <w:rsid w:val="009D4939"/>
    <w:rsid w:val="009D773B"/>
    <w:rsid w:val="009D7D36"/>
    <w:rsid w:val="00A2167D"/>
    <w:rsid w:val="00A327FA"/>
    <w:rsid w:val="00A56ECD"/>
    <w:rsid w:val="00A72E02"/>
    <w:rsid w:val="00A76958"/>
    <w:rsid w:val="00AD51B0"/>
    <w:rsid w:val="00AE0F59"/>
    <w:rsid w:val="00AF5D18"/>
    <w:rsid w:val="00B0219A"/>
    <w:rsid w:val="00B05562"/>
    <w:rsid w:val="00B226A5"/>
    <w:rsid w:val="00B42479"/>
    <w:rsid w:val="00B57426"/>
    <w:rsid w:val="00B812B4"/>
    <w:rsid w:val="00BA3B51"/>
    <w:rsid w:val="00BA5FF5"/>
    <w:rsid w:val="00BA7369"/>
    <w:rsid w:val="00BA7EEE"/>
    <w:rsid w:val="00BC1F8C"/>
    <w:rsid w:val="00BF63EF"/>
    <w:rsid w:val="00C24DCC"/>
    <w:rsid w:val="00C4111F"/>
    <w:rsid w:val="00C65746"/>
    <w:rsid w:val="00C8066B"/>
    <w:rsid w:val="00C84E3D"/>
    <w:rsid w:val="00C958CC"/>
    <w:rsid w:val="00CF28AA"/>
    <w:rsid w:val="00CF55F2"/>
    <w:rsid w:val="00D027E7"/>
    <w:rsid w:val="00D037E1"/>
    <w:rsid w:val="00D14B52"/>
    <w:rsid w:val="00D16524"/>
    <w:rsid w:val="00D22D9E"/>
    <w:rsid w:val="00D853DC"/>
    <w:rsid w:val="00D94DE1"/>
    <w:rsid w:val="00DB3D8C"/>
    <w:rsid w:val="00DC6655"/>
    <w:rsid w:val="00DD0405"/>
    <w:rsid w:val="00E319D8"/>
    <w:rsid w:val="00E4295D"/>
    <w:rsid w:val="00E56346"/>
    <w:rsid w:val="00E9327F"/>
    <w:rsid w:val="00E951F2"/>
    <w:rsid w:val="00EB57E4"/>
    <w:rsid w:val="00EC00B9"/>
    <w:rsid w:val="00ED48E4"/>
    <w:rsid w:val="00EE4301"/>
    <w:rsid w:val="00EE5E91"/>
    <w:rsid w:val="00F006B8"/>
    <w:rsid w:val="00F02964"/>
    <w:rsid w:val="00F115C5"/>
    <w:rsid w:val="00F33D02"/>
    <w:rsid w:val="00F579C3"/>
    <w:rsid w:val="00F660CE"/>
    <w:rsid w:val="00F679BE"/>
    <w:rsid w:val="00F8158C"/>
    <w:rsid w:val="01396C20"/>
    <w:rsid w:val="0CF46A16"/>
    <w:rsid w:val="0FB5117A"/>
    <w:rsid w:val="15C430F2"/>
    <w:rsid w:val="1E476874"/>
    <w:rsid w:val="204E0095"/>
    <w:rsid w:val="221125FC"/>
    <w:rsid w:val="236D5AC7"/>
    <w:rsid w:val="263B67A4"/>
    <w:rsid w:val="2DC4108D"/>
    <w:rsid w:val="327E3B0C"/>
    <w:rsid w:val="331C27C3"/>
    <w:rsid w:val="33B741F7"/>
    <w:rsid w:val="361478B8"/>
    <w:rsid w:val="3986657F"/>
    <w:rsid w:val="430F26B1"/>
    <w:rsid w:val="489D4CF1"/>
    <w:rsid w:val="57ED577C"/>
    <w:rsid w:val="59993B4C"/>
    <w:rsid w:val="617104FD"/>
    <w:rsid w:val="626C326C"/>
    <w:rsid w:val="66620201"/>
    <w:rsid w:val="6BC7627D"/>
    <w:rsid w:val="72F06315"/>
    <w:rsid w:val="7D820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0"/>
    <w:uiPriority w:val="99"/>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styleId="9">
    <w:name w:val="Hyperlink"/>
    <w:qFormat/>
    <w:uiPriority w:val="0"/>
    <w:rPr>
      <w:color w:val="0000FF"/>
      <w:u w:val="single"/>
    </w:rPr>
  </w:style>
  <w:style w:type="character" w:customStyle="1" w:styleId="10">
    <w:name w:val="页脚 Char"/>
    <w:link w:val="3"/>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p\Application%20Data\Microsoft\Templates\&#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Template>
  <Company> </Company>
  <Pages>8</Pages>
  <Words>3693</Words>
  <Characters>1378</Characters>
  <Lines>11</Lines>
  <Paragraphs>10</Paragraphs>
  <TotalTime>1</TotalTime>
  <ScaleCrop>false</ScaleCrop>
  <LinksUpToDate>false</LinksUpToDate>
  <CharactersWithSpaces>5061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2021-05-13T02:04:00Z</dcterms:created>
  <dc:creator>vip</dc:creator>
  <cp:lastModifiedBy>apple</cp:lastModifiedBy>
  <cp:lastPrinted>2014-11-26T07:55:00Z</cp:lastPrinted>
  <dcterms:modified xsi:type="dcterms:W3CDTF">2021-05-25T02:55:16Z</dcterms:modified>
  <dc:title>上海高校高峰高原学科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3A56C29FF3504BBD9E0F671D502DDF9C</vt:lpwstr>
  </property>
</Properties>
</file>